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72484">
      <w:pPr>
        <w:pStyle w:val="5"/>
        <w:keepNext w:val="0"/>
        <w:keepLines w:val="0"/>
        <w:pageBreakBefore w:val="0"/>
        <w:kinsoku/>
        <w:wordWrap/>
        <w:overflowPunct/>
        <w:topLinePunct w:val="0"/>
        <w:autoSpaceDE/>
        <w:autoSpaceDN/>
        <w:bidi w:val="0"/>
        <w:adjustRightInd/>
        <w:snapToGrid/>
        <w:spacing w:line="360" w:lineRule="auto"/>
        <w:ind w:left="0" w:right="0"/>
        <w:jc w:val="center"/>
        <w:textAlignment w:val="auto"/>
        <w:outlineLvl w:val="1"/>
        <w:rPr>
          <w:rFonts w:hint="eastAsia" w:ascii="宋体" w:hAnsi="宋体" w:eastAsia="宋体" w:cs="宋体"/>
          <w:b/>
          <w:color w:val="auto"/>
          <w:sz w:val="36"/>
          <w:highlight w:val="none"/>
        </w:rPr>
      </w:pPr>
      <w:r>
        <w:rPr>
          <w:rFonts w:hint="eastAsia" w:ascii="宋体" w:hAnsi="宋体" w:eastAsia="宋体" w:cs="宋体"/>
          <w:b/>
          <w:color w:val="auto"/>
          <w:sz w:val="36"/>
          <w:highlight w:val="none"/>
        </w:rPr>
        <w:t xml:space="preserve">2026-2027年度小榄镇公共环境病媒生物防制服务项目 </w:t>
      </w:r>
    </w:p>
    <w:p w14:paraId="237D0406">
      <w:pPr>
        <w:pStyle w:val="5"/>
        <w:keepNext w:val="0"/>
        <w:keepLines w:val="0"/>
        <w:pageBreakBefore w:val="0"/>
        <w:kinsoku/>
        <w:wordWrap/>
        <w:overflowPunct/>
        <w:topLinePunct w:val="0"/>
        <w:autoSpaceDE/>
        <w:autoSpaceDN/>
        <w:bidi w:val="0"/>
        <w:adjustRightInd/>
        <w:snapToGrid/>
        <w:spacing w:line="360" w:lineRule="auto"/>
        <w:ind w:left="0" w:right="0"/>
        <w:jc w:val="center"/>
        <w:textAlignment w:val="auto"/>
        <w:outlineLvl w:val="1"/>
        <w:rPr>
          <w:rFonts w:hint="eastAsia" w:ascii="宋体" w:hAnsi="宋体" w:eastAsia="宋体" w:cs="宋体"/>
          <w:color w:val="auto"/>
          <w:highlight w:val="none"/>
        </w:rPr>
      </w:pPr>
      <w:r>
        <w:rPr>
          <w:rFonts w:hint="eastAsia" w:ascii="宋体" w:hAnsi="宋体" w:eastAsia="宋体" w:cs="宋体"/>
          <w:b/>
          <w:color w:val="auto"/>
          <w:sz w:val="36"/>
          <w:highlight w:val="none"/>
        </w:rPr>
        <w:t>采购需求</w:t>
      </w:r>
    </w:p>
    <w:p w14:paraId="45B4107B">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outlineLvl w:val="1"/>
        <w:rPr>
          <w:rFonts w:hint="eastAsia" w:ascii="宋体" w:hAnsi="宋体" w:eastAsia="宋体" w:cs="宋体"/>
          <w:color w:val="auto"/>
          <w:highlight w:val="none"/>
        </w:rPr>
      </w:pPr>
    </w:p>
    <w:p w14:paraId="633CF164">
      <w:pPr>
        <w:pStyle w:val="5"/>
        <w:keepNext w:val="0"/>
        <w:keepLines w:val="0"/>
        <w:pageBreakBefore w:val="0"/>
        <w:widowControl w:val="0"/>
        <w:kinsoku/>
        <w:wordWrap w:val="0"/>
        <w:overflowPunct/>
        <w:topLinePunct w:val="0"/>
        <w:autoSpaceDE/>
        <w:autoSpaceDN/>
        <w:bidi w:val="0"/>
        <w:adjustRightInd/>
        <w:snapToGrid/>
        <w:spacing w:line="360" w:lineRule="auto"/>
        <w:textAlignment w:val="auto"/>
        <w:outlineLvl w:val="2"/>
        <w:rPr>
          <w:rFonts w:hint="eastAsia" w:ascii="宋体" w:hAnsi="宋体" w:eastAsia="宋体" w:cs="宋体"/>
          <w:color w:val="auto"/>
          <w:sz w:val="18"/>
          <w:szCs w:val="18"/>
          <w:highlight w:val="none"/>
        </w:rPr>
      </w:pPr>
      <w:r>
        <w:rPr>
          <w:rFonts w:hint="eastAsia" w:ascii="宋体" w:hAnsi="宋体" w:eastAsia="宋体" w:cs="宋体"/>
          <w:b/>
          <w:color w:val="auto"/>
          <w:sz w:val="24"/>
          <w:szCs w:val="18"/>
          <w:highlight w:val="none"/>
        </w:rPr>
        <w:t>一、项目概况</w:t>
      </w:r>
    </w:p>
    <w:p w14:paraId="33CCB7E9">
      <w:pPr>
        <w:pStyle w:val="5"/>
        <w:spacing w:line="360" w:lineRule="auto"/>
        <w:jc w:val="left"/>
        <w:rPr>
          <w:rFonts w:hint="eastAsia" w:eastAsia="宋体"/>
          <w:color w:val="auto"/>
          <w:sz w:val="21"/>
          <w:highlight w:val="none"/>
        </w:rPr>
      </w:pPr>
      <w:r>
        <w:rPr>
          <w:rFonts w:hint="eastAsia" w:eastAsia="宋体"/>
          <w:color w:val="auto"/>
          <w:sz w:val="21"/>
          <w:highlight w:val="none"/>
        </w:rPr>
        <w:t>1.本项目预算金额为</w:t>
      </w:r>
      <w:r>
        <w:rPr>
          <w:rFonts w:hint="eastAsia" w:eastAsia="宋体"/>
          <w:color w:val="auto"/>
          <w:sz w:val="21"/>
          <w:highlight w:val="none"/>
          <w:lang w:eastAsia="zh-CN"/>
        </w:rPr>
        <w:t>1</w:t>
      </w:r>
      <w:r>
        <w:rPr>
          <w:rFonts w:hint="eastAsia" w:eastAsia="宋体"/>
          <w:color w:val="auto"/>
          <w:sz w:val="21"/>
          <w:highlight w:val="none"/>
          <w:lang w:val="en-US" w:eastAsia="zh-CN"/>
        </w:rPr>
        <w:t>,</w:t>
      </w:r>
      <w:r>
        <w:rPr>
          <w:rFonts w:hint="eastAsia" w:eastAsia="宋体"/>
          <w:color w:val="auto"/>
          <w:sz w:val="21"/>
          <w:highlight w:val="none"/>
          <w:lang w:eastAsia="zh-CN"/>
        </w:rPr>
        <w:t>500,000.00</w:t>
      </w:r>
      <w:r>
        <w:rPr>
          <w:rFonts w:hint="eastAsia" w:eastAsia="宋体"/>
          <w:color w:val="auto"/>
          <w:sz w:val="21"/>
          <w:highlight w:val="none"/>
        </w:rPr>
        <w:t>元，供应商投标报价不得高于预算金额，否则视为无效投标。</w:t>
      </w:r>
    </w:p>
    <w:p w14:paraId="7E21B372">
      <w:pPr>
        <w:pStyle w:val="5"/>
        <w:spacing w:line="360" w:lineRule="auto"/>
        <w:jc w:val="left"/>
        <w:rPr>
          <w:rFonts w:hint="eastAsia" w:eastAsia="宋体"/>
          <w:color w:val="auto"/>
          <w:sz w:val="21"/>
          <w:highlight w:val="none"/>
        </w:rPr>
      </w:pPr>
      <w:r>
        <w:rPr>
          <w:rFonts w:hint="eastAsia" w:eastAsia="宋体"/>
          <w:color w:val="auto"/>
          <w:sz w:val="21"/>
          <w:highlight w:val="none"/>
        </w:rPr>
        <w:t>2.供应商必须对所投项目的全部内容进行投标，不允许只对所投项目的部分内容进行投标。</w:t>
      </w:r>
    </w:p>
    <w:p w14:paraId="3D3DA83F">
      <w:pPr>
        <w:pStyle w:val="5"/>
        <w:spacing w:line="360" w:lineRule="auto"/>
        <w:jc w:val="left"/>
        <w:rPr>
          <w:rFonts w:hint="eastAsia" w:eastAsia="宋体"/>
          <w:color w:val="auto"/>
          <w:sz w:val="21"/>
          <w:highlight w:val="none"/>
        </w:rPr>
      </w:pPr>
      <w:r>
        <w:rPr>
          <w:rFonts w:hint="eastAsia" w:eastAsia="宋体"/>
          <w:color w:val="auto"/>
          <w:sz w:val="21"/>
          <w:highlight w:val="none"/>
        </w:rPr>
        <w:t>3.投标报价</w:t>
      </w:r>
      <w:r>
        <w:rPr>
          <w:rFonts w:hint="eastAsia" w:eastAsia="宋体"/>
          <w:color w:val="auto"/>
          <w:sz w:val="21"/>
          <w:highlight w:val="none"/>
          <w:lang w:val="en-US" w:eastAsia="zh-CN"/>
        </w:rPr>
        <w:t>包括但不限于完成该项目的药品费用、人工费、人员施工防护、员工意外保险、工伤、 医疗、失业、养老保险、管理费、机械设备工具材料费、机械使用费、水费、电费、维修维护费、企业利润、规费、税费、技术指导费、风险费、突发事件处理费等履行本合同过程中应预见和不可预见的一切费用和利润。</w:t>
      </w:r>
    </w:p>
    <w:p w14:paraId="7E80346A">
      <w:pPr>
        <w:pStyle w:val="5"/>
        <w:spacing w:line="360" w:lineRule="auto"/>
        <w:jc w:val="left"/>
        <w:rPr>
          <w:rFonts w:hint="eastAsia" w:eastAsia="宋体"/>
          <w:color w:val="auto"/>
          <w:sz w:val="21"/>
          <w:highlight w:val="none"/>
        </w:rPr>
      </w:pPr>
      <w:r>
        <w:rPr>
          <w:rFonts w:hint="eastAsia" w:eastAsia="宋体"/>
          <w:color w:val="auto"/>
          <w:sz w:val="21"/>
          <w:highlight w:val="none"/>
        </w:rPr>
        <w:t>4.</w:t>
      </w:r>
      <w:r>
        <w:rPr>
          <w:rFonts w:hint="eastAsia" w:eastAsia="宋体"/>
          <w:color w:val="auto"/>
          <w:sz w:val="21"/>
          <w:highlight w:val="none"/>
          <w:lang w:eastAsia="zh-CN"/>
        </w:rPr>
        <w:t>中标供应商</w:t>
      </w:r>
      <w:r>
        <w:rPr>
          <w:rFonts w:hint="eastAsia" w:eastAsia="宋体"/>
          <w:color w:val="auto"/>
          <w:sz w:val="21"/>
          <w:highlight w:val="none"/>
        </w:rPr>
        <w:t>应承担及负责</w:t>
      </w:r>
      <w:r>
        <w:rPr>
          <w:rFonts w:hint="eastAsia" w:eastAsia="宋体"/>
          <w:color w:val="auto"/>
          <w:sz w:val="21"/>
          <w:highlight w:val="none"/>
          <w:lang w:eastAsia="zh-CN"/>
        </w:rPr>
        <w:t>招标文件</w:t>
      </w:r>
      <w:r>
        <w:rPr>
          <w:rFonts w:hint="eastAsia" w:eastAsia="宋体"/>
          <w:color w:val="auto"/>
          <w:sz w:val="21"/>
          <w:highlight w:val="none"/>
        </w:rPr>
        <w:t>对</w:t>
      </w:r>
      <w:r>
        <w:rPr>
          <w:rFonts w:hint="eastAsia" w:eastAsia="宋体"/>
          <w:color w:val="auto"/>
          <w:sz w:val="21"/>
          <w:highlight w:val="none"/>
          <w:lang w:eastAsia="zh-CN"/>
        </w:rPr>
        <w:t>中标供应商</w:t>
      </w:r>
      <w:r>
        <w:rPr>
          <w:rFonts w:hint="eastAsia" w:eastAsia="宋体"/>
          <w:color w:val="auto"/>
          <w:sz w:val="21"/>
          <w:highlight w:val="none"/>
        </w:rPr>
        <w:t>要求的一切事宜及责任。</w:t>
      </w:r>
    </w:p>
    <w:p w14:paraId="4E291848">
      <w:pPr>
        <w:pStyle w:val="5"/>
        <w:spacing w:line="360" w:lineRule="auto"/>
        <w:jc w:val="left"/>
        <w:rPr>
          <w:rFonts w:hint="eastAsia" w:eastAsia="宋体"/>
          <w:color w:val="auto"/>
          <w:sz w:val="21"/>
          <w:highlight w:val="none"/>
        </w:rPr>
      </w:pPr>
      <w:r>
        <w:rPr>
          <w:rFonts w:hint="eastAsia" w:eastAsia="宋体"/>
          <w:color w:val="auto"/>
          <w:sz w:val="21"/>
          <w:highlight w:val="none"/>
        </w:rPr>
        <w:t>5.</w:t>
      </w:r>
      <w:r>
        <w:rPr>
          <w:rFonts w:hint="eastAsia" w:eastAsia="宋体"/>
          <w:color w:val="auto"/>
          <w:sz w:val="21"/>
          <w:highlight w:val="none"/>
          <w:lang w:eastAsia="zh-CN"/>
        </w:rPr>
        <w:t>中标供应商</w:t>
      </w:r>
      <w:r>
        <w:rPr>
          <w:rFonts w:hint="eastAsia" w:eastAsia="宋体"/>
          <w:color w:val="auto"/>
          <w:sz w:val="21"/>
          <w:highlight w:val="none"/>
        </w:rPr>
        <w:t>不得再以任何方式转包或未经采购人同意</w:t>
      </w:r>
      <w:r>
        <w:rPr>
          <w:rFonts w:hint="eastAsia" w:eastAsia="宋体"/>
          <w:color w:val="auto"/>
          <w:sz w:val="21"/>
          <w:highlight w:val="none"/>
          <w:lang w:val="en-US" w:eastAsia="zh-CN"/>
        </w:rPr>
        <w:t>违法</w:t>
      </w:r>
      <w:r>
        <w:rPr>
          <w:rFonts w:hint="eastAsia" w:eastAsia="宋体"/>
          <w:color w:val="auto"/>
          <w:sz w:val="21"/>
          <w:highlight w:val="none"/>
        </w:rPr>
        <w:t>分包本项目。</w:t>
      </w:r>
    </w:p>
    <w:p w14:paraId="6411D794">
      <w:pPr>
        <w:pStyle w:val="5"/>
        <w:spacing w:line="360" w:lineRule="auto"/>
        <w:jc w:val="left"/>
        <w:rPr>
          <w:rFonts w:hint="eastAsia" w:eastAsia="宋体"/>
          <w:b/>
          <w:bCs/>
          <w:color w:val="auto"/>
          <w:sz w:val="21"/>
          <w:highlight w:val="none"/>
        </w:rPr>
      </w:pPr>
      <w:r>
        <w:rPr>
          <w:rFonts w:hint="eastAsia" w:eastAsia="宋体"/>
          <w:color w:val="auto"/>
          <w:sz w:val="21"/>
          <w:highlight w:val="none"/>
        </w:rPr>
        <w:t>6.招标文件中凡有“★”标识的内容条款被视为实质性条款</w:t>
      </w:r>
      <w:r>
        <w:rPr>
          <w:rFonts w:hint="eastAsia" w:eastAsia="宋体"/>
          <w:color w:val="auto"/>
          <w:sz w:val="21"/>
          <w:highlight w:val="none"/>
          <w:lang w:eastAsia="zh-CN"/>
        </w:rPr>
        <w:t>，</w:t>
      </w:r>
      <w:r>
        <w:rPr>
          <w:rFonts w:hint="eastAsia" w:eastAsia="宋体"/>
          <w:color w:val="auto"/>
          <w:sz w:val="21"/>
          <w:highlight w:val="none"/>
        </w:rPr>
        <w:t>必须对此作出回答并完全满足或响应这些要求</w:t>
      </w:r>
      <w:r>
        <w:rPr>
          <w:rFonts w:hint="eastAsia" w:eastAsia="宋体"/>
          <w:color w:val="auto"/>
          <w:sz w:val="21"/>
          <w:highlight w:val="none"/>
          <w:lang w:eastAsia="zh-CN"/>
        </w:rPr>
        <w:t>，</w:t>
      </w:r>
      <w:r>
        <w:rPr>
          <w:rFonts w:hint="eastAsia" w:eastAsia="宋体"/>
          <w:color w:val="auto"/>
          <w:sz w:val="21"/>
          <w:highlight w:val="none"/>
        </w:rPr>
        <w:t>不可以出现任何负偏离，对有“★”标识的实质性条款的任何负偏离或不满足将视为无效投标。</w:t>
      </w:r>
      <w:r>
        <w:rPr>
          <w:rFonts w:hint="eastAsia" w:eastAsia="宋体"/>
          <w:b/>
          <w:bCs/>
          <w:color w:val="auto"/>
          <w:sz w:val="21"/>
          <w:highlight w:val="none"/>
        </w:rPr>
        <w:t>（招标文件中凡有“★”标识的内容条款都需要提供承诺函原件并加盖</w:t>
      </w:r>
      <w:r>
        <w:rPr>
          <w:rFonts w:hint="eastAsia" w:eastAsia="宋体"/>
          <w:b/>
          <w:bCs/>
          <w:color w:val="auto"/>
          <w:sz w:val="21"/>
          <w:highlight w:val="none"/>
          <w:lang w:eastAsia="zh-CN"/>
        </w:rPr>
        <w:t>供应商</w:t>
      </w:r>
      <w:r>
        <w:rPr>
          <w:rFonts w:hint="eastAsia" w:eastAsia="宋体"/>
          <w:b/>
          <w:bCs/>
          <w:color w:val="auto"/>
          <w:sz w:val="21"/>
          <w:highlight w:val="none"/>
        </w:rPr>
        <w:t>公章，承诺函格式自拟。</w:t>
      </w:r>
      <w:r>
        <w:rPr>
          <w:rFonts w:hint="eastAsia" w:eastAsia="宋体"/>
          <w:b/>
          <w:bCs/>
          <w:color w:val="auto"/>
          <w:sz w:val="21"/>
          <w:highlight w:val="none"/>
          <w:lang w:eastAsia="zh-CN"/>
        </w:rPr>
        <w:t>供应商</w:t>
      </w:r>
      <w:r>
        <w:rPr>
          <w:rFonts w:hint="eastAsia" w:eastAsia="宋体"/>
          <w:b/>
          <w:bCs/>
          <w:color w:val="auto"/>
          <w:sz w:val="21"/>
          <w:highlight w:val="none"/>
        </w:rPr>
        <w:t>须真实承诺，一旦发现存在虚假承诺，采购人有权立即终止合同，并追究其相关法律责任。）</w:t>
      </w:r>
    </w:p>
    <w:p w14:paraId="3E723A8A">
      <w:pPr>
        <w:pStyle w:val="5"/>
        <w:spacing w:line="360" w:lineRule="auto"/>
        <w:jc w:val="left"/>
        <w:rPr>
          <w:rFonts w:hint="eastAsia" w:eastAsia="宋体"/>
          <w:color w:val="auto"/>
          <w:sz w:val="21"/>
          <w:highlight w:val="none"/>
          <w:lang w:val="en-US" w:eastAsia="zh-CN"/>
        </w:rPr>
      </w:pPr>
      <w:r>
        <w:rPr>
          <w:rFonts w:hint="eastAsia" w:eastAsia="宋体"/>
          <w:color w:val="auto"/>
          <w:sz w:val="21"/>
          <w:highlight w:val="none"/>
          <w:lang w:val="en-US" w:eastAsia="zh-CN"/>
        </w:rPr>
        <w:t>7.打“▲”号条款为重要技术参数（如有），若有部分“▲”条款未响应或不满足，将根据评审要求影响其得分，但不作为无效投标条款。</w:t>
      </w:r>
    </w:p>
    <w:p w14:paraId="7AA0A9FE">
      <w:pPr>
        <w:pStyle w:val="5"/>
        <w:spacing w:line="360" w:lineRule="auto"/>
        <w:jc w:val="left"/>
        <w:rPr>
          <w:rFonts w:hint="eastAsia" w:eastAsia="宋体"/>
          <w:color w:val="auto"/>
          <w:sz w:val="21"/>
          <w:highlight w:val="none"/>
          <w:lang w:val="en-US" w:eastAsia="zh-CN"/>
        </w:rPr>
      </w:pPr>
      <w:r>
        <w:rPr>
          <w:rFonts w:hint="eastAsia" w:eastAsia="宋体"/>
          <w:color w:val="auto"/>
          <w:sz w:val="21"/>
          <w:highlight w:val="none"/>
          <w:lang w:val="en-US" w:eastAsia="zh-CN"/>
        </w:rPr>
        <w:t>8.本项目严格执行关于“强化政府采购异常低价审查”的要求（财政部《关于推动解决政府采购异常低价问题的通知》财库〔2026〕2号），具体执行内容如下：</w:t>
      </w:r>
    </w:p>
    <w:p w14:paraId="52DA9DFB">
      <w:pPr>
        <w:pStyle w:val="5"/>
        <w:spacing w:line="360" w:lineRule="auto"/>
        <w:jc w:val="left"/>
        <w:rPr>
          <w:rFonts w:hint="eastAsia" w:eastAsia="宋体"/>
          <w:color w:val="auto"/>
          <w:sz w:val="21"/>
          <w:highlight w:val="none"/>
          <w:lang w:val="en-US" w:eastAsia="zh-CN"/>
        </w:rPr>
      </w:pPr>
      <w:r>
        <w:rPr>
          <w:rFonts w:hint="eastAsia" w:eastAsia="宋体"/>
          <w:color w:val="auto"/>
          <w:sz w:val="21"/>
          <w:highlight w:val="none"/>
          <w:lang w:val="en-US" w:eastAsia="zh-CN"/>
        </w:rPr>
        <w:t>（1）政府采购评审中出现下列情形之一的，评审委员会应当启动异常低价投标（响应）审查程序：</w:t>
      </w:r>
    </w:p>
    <w:p w14:paraId="6CFDD7FD">
      <w:pPr>
        <w:pStyle w:val="5"/>
        <w:spacing w:line="360" w:lineRule="auto"/>
        <w:jc w:val="left"/>
        <w:rPr>
          <w:rFonts w:hint="eastAsia" w:eastAsia="宋体"/>
          <w:color w:val="auto"/>
          <w:sz w:val="21"/>
          <w:highlight w:val="none"/>
          <w:lang w:val="en-US" w:eastAsia="zh-CN"/>
        </w:rPr>
      </w:pPr>
      <w:r>
        <w:rPr>
          <w:rFonts w:hint="eastAsia" w:eastAsia="宋体"/>
          <w:color w:val="auto"/>
          <w:sz w:val="21"/>
          <w:highlight w:val="none"/>
          <w:lang w:val="en-US" w:eastAsia="zh-CN"/>
        </w:rPr>
        <w:t>1）投标（响应）报价低于全部通过符合性审查投标人投标（响应）报价平均值50%的，即投标（响应）报价&lt;全部通过符合性审查投标人投标（响应）报价平均值×50%；</w:t>
      </w:r>
    </w:p>
    <w:p w14:paraId="04CAB46E">
      <w:pPr>
        <w:pStyle w:val="5"/>
        <w:spacing w:line="360" w:lineRule="auto"/>
        <w:jc w:val="left"/>
        <w:rPr>
          <w:rFonts w:hint="eastAsia" w:eastAsia="宋体"/>
          <w:color w:val="auto"/>
          <w:sz w:val="21"/>
          <w:highlight w:val="none"/>
          <w:lang w:val="en-US" w:eastAsia="zh-CN"/>
        </w:rPr>
      </w:pPr>
      <w:r>
        <w:rPr>
          <w:rFonts w:hint="eastAsia" w:eastAsia="宋体"/>
          <w:color w:val="auto"/>
          <w:sz w:val="21"/>
          <w:highlight w:val="none"/>
          <w:lang w:val="en-US" w:eastAsia="zh-CN"/>
        </w:rPr>
        <w:t>2）投标（响应）报价低于通过符合性审查的次低报价投标人投标（响应）报价50%的，即投标（响应）报价&lt;通过符合性审查的次低报价投标人投标（响应）报价×50%；</w:t>
      </w:r>
    </w:p>
    <w:p w14:paraId="68E6A283">
      <w:pPr>
        <w:pStyle w:val="5"/>
        <w:spacing w:line="360" w:lineRule="auto"/>
        <w:jc w:val="left"/>
        <w:rPr>
          <w:rFonts w:hint="eastAsia" w:eastAsia="宋体"/>
          <w:color w:val="auto"/>
          <w:sz w:val="21"/>
          <w:highlight w:val="none"/>
          <w:lang w:val="en-US" w:eastAsia="zh-CN"/>
        </w:rPr>
      </w:pPr>
      <w:r>
        <w:rPr>
          <w:rFonts w:hint="eastAsia" w:eastAsia="宋体"/>
          <w:color w:val="auto"/>
          <w:sz w:val="21"/>
          <w:highlight w:val="none"/>
          <w:lang w:val="en-US" w:eastAsia="zh-CN"/>
        </w:rPr>
        <w:t>3）投标（响应）报价低于采购项目最高限价45%的，即投标（响应）报价&lt;采购项目最高限价×45%；</w:t>
      </w:r>
    </w:p>
    <w:p w14:paraId="15F654A4">
      <w:pPr>
        <w:pStyle w:val="5"/>
        <w:spacing w:line="360" w:lineRule="auto"/>
        <w:jc w:val="left"/>
        <w:rPr>
          <w:rFonts w:hint="eastAsia" w:eastAsia="宋体"/>
          <w:color w:val="auto"/>
          <w:sz w:val="21"/>
          <w:highlight w:val="none"/>
          <w:lang w:val="en-US" w:eastAsia="zh-CN"/>
        </w:rPr>
      </w:pPr>
      <w:r>
        <w:rPr>
          <w:rFonts w:hint="eastAsia" w:eastAsia="宋体"/>
          <w:color w:val="auto"/>
          <w:sz w:val="21"/>
          <w:highlight w:val="none"/>
          <w:lang w:val="en-US" w:eastAsia="zh-CN"/>
        </w:rPr>
        <w:t>4）评审委员会基于专业判断，认为投标人报价过低，有可能影响产品质量或者不能诚信履约的其他情形。</w:t>
      </w:r>
    </w:p>
    <w:p w14:paraId="7CE08966">
      <w:pPr>
        <w:pStyle w:val="5"/>
        <w:spacing w:line="360" w:lineRule="auto"/>
        <w:jc w:val="left"/>
        <w:rPr>
          <w:rFonts w:hint="eastAsia" w:eastAsia="宋体"/>
          <w:color w:val="auto"/>
          <w:sz w:val="21"/>
          <w:highlight w:val="none"/>
          <w:lang w:val="en-US" w:eastAsia="zh-CN"/>
        </w:rPr>
      </w:pPr>
      <w:r>
        <w:rPr>
          <w:rFonts w:hint="eastAsia" w:eastAsia="宋体"/>
          <w:color w:val="auto"/>
          <w:sz w:val="21"/>
          <w:highlight w:val="none"/>
          <w:lang w:val="en-US" w:eastAsia="zh-CN"/>
        </w:rPr>
        <w:t>（2）评审委员会启动异常低价投标（响应）审查后，属于前述第1）项至第4）项情形的，投标人须提供项目具体成本测算等与报价合理性相关的书面说明及必要的证明材料，包括但不限于原材料成本、人工成本、制造费用等。其中，属于第3）项情形，投标人已随投标（响应）文件一并提交相关书面说明及必要的证明材料的，在评审现场可不再重复提交。</w:t>
      </w:r>
    </w:p>
    <w:p w14:paraId="03753E24">
      <w:pPr>
        <w:pStyle w:val="5"/>
        <w:spacing w:line="360" w:lineRule="auto"/>
        <w:jc w:val="left"/>
        <w:rPr>
          <w:rFonts w:hint="eastAsia" w:eastAsia="宋体"/>
          <w:color w:val="auto"/>
          <w:sz w:val="21"/>
          <w:highlight w:val="none"/>
          <w:lang w:val="en-US" w:eastAsia="zh-CN"/>
        </w:rPr>
      </w:pPr>
      <w:r>
        <w:rPr>
          <w:rFonts w:hint="eastAsia" w:eastAsia="宋体"/>
          <w:color w:val="auto"/>
          <w:sz w:val="21"/>
          <w:highlight w:val="none"/>
          <w:lang w:val="en-US" w:eastAsia="zh-CN"/>
        </w:rPr>
        <w:t>（3）投标人于指定时间内不能提供书面说明、证明材料，或者提供的书面说明、证明材料不能证明其报价合理性的，评审委员会应当将其作为无效投标（响应）处理。</w:t>
      </w:r>
    </w:p>
    <w:p w14:paraId="2158B9BE">
      <w:pPr>
        <w:pStyle w:val="5"/>
        <w:spacing w:line="360" w:lineRule="auto"/>
        <w:jc w:val="both"/>
        <w:rPr>
          <w:rFonts w:hint="eastAsia" w:ascii="宋体" w:hAnsi="宋体" w:eastAsia="宋体" w:cs="宋体"/>
          <w:b/>
          <w:color w:val="auto"/>
          <w:sz w:val="24"/>
          <w:szCs w:val="18"/>
          <w:highlight w:val="none"/>
          <w:lang w:val="en-US" w:eastAsia="zh-CN"/>
        </w:rPr>
      </w:pPr>
      <w:bookmarkStart w:id="0" w:name="_GoBack"/>
      <w:bookmarkEnd w:id="0"/>
      <w:r>
        <w:rPr>
          <w:rFonts w:hint="eastAsia" w:ascii="宋体" w:hAnsi="宋体" w:eastAsia="宋体" w:cs="宋体"/>
          <w:b/>
          <w:color w:val="auto"/>
          <w:sz w:val="24"/>
          <w:szCs w:val="18"/>
          <w:highlight w:val="none"/>
          <w:lang w:val="en-US" w:eastAsia="zh-CN"/>
        </w:rPr>
        <w:t>二、项目基本要求</w:t>
      </w:r>
    </w:p>
    <w:p w14:paraId="1FA359C0">
      <w:pPr>
        <w:pStyle w:val="5"/>
        <w:spacing w:line="360" w:lineRule="auto"/>
        <w:jc w:val="both"/>
        <w:rPr>
          <w:rFonts w:hint="default" w:eastAsia="宋体"/>
          <w:b/>
          <w:bCs/>
          <w:color w:val="auto"/>
          <w:sz w:val="21"/>
          <w:highlight w:val="none"/>
          <w:lang w:val="en-US" w:eastAsia="zh-CN"/>
        </w:rPr>
      </w:pPr>
      <w:r>
        <w:rPr>
          <w:rFonts w:hint="eastAsia" w:eastAsia="宋体"/>
          <w:b/>
          <w:bCs/>
          <w:color w:val="auto"/>
          <w:sz w:val="21"/>
          <w:highlight w:val="none"/>
          <w:lang w:val="en-US" w:eastAsia="zh-CN"/>
        </w:rPr>
        <w:t>1.项目区域或地段</w:t>
      </w:r>
    </w:p>
    <w:p w14:paraId="381ADE15">
      <w:pPr>
        <w:pStyle w:val="5"/>
        <w:spacing w:line="360" w:lineRule="auto"/>
        <w:ind w:firstLine="420" w:firstLineChars="200"/>
        <w:jc w:val="both"/>
        <w:rPr>
          <w:rFonts w:hint="default" w:eastAsia="宋体"/>
          <w:color w:val="auto"/>
          <w:sz w:val="21"/>
          <w:highlight w:val="none"/>
          <w:lang w:val="en-US" w:eastAsia="zh-CN"/>
        </w:rPr>
      </w:pPr>
      <w:r>
        <w:rPr>
          <w:rFonts w:hint="eastAsia" w:eastAsia="宋体"/>
          <w:color w:val="auto"/>
          <w:sz w:val="21"/>
          <w:highlight w:val="none"/>
          <w:lang w:val="en-US" w:eastAsia="zh-CN"/>
        </w:rPr>
        <w:t>小榄片区和东升片区外环境、指定单位的室内外，全部执行有害生物（鼠、蚊、蝇、蟑螂）防制工作，服务期为一年。外环境包括场所周边100米范围内，道路中间及两旁30米区域范围内的绿化带、杂草地及小块空地，公共场所绿化带、下水道、河岸边、空地、杂草地、路边垃圾桶和临时垃圾收集点、卫生死角等。（具体范围详见附件1-附件3）</w:t>
      </w:r>
    </w:p>
    <w:tbl>
      <w:tblPr>
        <w:tblStyle w:val="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7973"/>
        <w:gridCol w:w="1743"/>
      </w:tblGrid>
      <w:tr w14:paraId="4237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shd w:val="clear" w:color="auto" w:fill="FFFFFF"/>
            <w:vAlign w:val="center"/>
          </w:tcPr>
          <w:p w14:paraId="0A09EF93">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3732" w:type="pct"/>
            <w:shd w:val="clear" w:color="auto" w:fill="FFFFFF"/>
            <w:vAlign w:val="center"/>
          </w:tcPr>
          <w:p w14:paraId="4B1D14ED">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具体区域或地段</w:t>
            </w:r>
          </w:p>
        </w:tc>
        <w:tc>
          <w:tcPr>
            <w:tcW w:w="816" w:type="pct"/>
            <w:shd w:val="clear" w:color="auto" w:fill="FFFFFF"/>
            <w:vAlign w:val="center"/>
          </w:tcPr>
          <w:p w14:paraId="1981EAB6">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防制对象</w:t>
            </w:r>
          </w:p>
        </w:tc>
      </w:tr>
      <w:tr w14:paraId="155C8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3" w:hRule="atLeast"/>
          <w:jc w:val="center"/>
        </w:trPr>
        <w:tc>
          <w:tcPr>
            <w:tcW w:w="451" w:type="pct"/>
            <w:shd w:val="clear" w:color="auto" w:fill="FFFFFF"/>
            <w:vAlign w:val="center"/>
          </w:tcPr>
          <w:p w14:paraId="0912450F">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732" w:type="pct"/>
            <w:shd w:val="clear" w:color="auto" w:fill="FFFFFF"/>
            <w:vAlign w:val="center"/>
          </w:tcPr>
          <w:p w14:paraId="49E16A46">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环镇北路、宝源路、竹桥直街、永宁工业大道、红山路、</w:t>
            </w:r>
            <w:r>
              <w:rPr>
                <w:rFonts w:hint="eastAsia" w:ascii="宋体" w:hAnsi="宋体" w:eastAsia="宋体" w:cs="宋体"/>
                <w:color w:val="auto"/>
                <w:sz w:val="21"/>
                <w:szCs w:val="21"/>
                <w:highlight w:val="none"/>
                <w:lang w:val="en-US" w:eastAsia="zh-CN"/>
              </w:rPr>
              <w:t>深巷路、</w:t>
            </w:r>
            <w:r>
              <w:rPr>
                <w:rFonts w:hint="eastAsia" w:ascii="宋体" w:hAnsi="宋体" w:eastAsia="宋体" w:cs="宋体"/>
                <w:color w:val="auto"/>
                <w:sz w:val="21"/>
                <w:szCs w:val="21"/>
                <w:highlight w:val="none"/>
              </w:rPr>
              <w:t>新市路、文化路、正义路、康公路、云路、拱桥路、下基路、长堤路、东堤路、南堤路、基头路、北苑路、岗底涌路、北秀路、龙山路、基头路、富华路、新华路、荣华路、升平路、民安北路、民安中路、民安南路、中顺大堤小榄全段及其绿道（从均安交界起）、沙口东路、沙口西路、同安路、小榄大道、德来路、菊城大道东、菊城大道中、菊城大道西、广源中路、广源南路、广源北路、跃龙路、东生东路、东生中路、东生西路、文成路、紫荆路、文田路、环镇西路、九洲路、祥丰北路、泰昌路、广成路、新沙水公路、祥龙路</w:t>
            </w:r>
            <w:r>
              <w:rPr>
                <w:rFonts w:hint="eastAsia" w:ascii="宋体" w:hAnsi="宋体" w:cs="宋体"/>
                <w:b/>
                <w:bCs/>
                <w:color w:val="auto"/>
                <w:sz w:val="21"/>
                <w:szCs w:val="21"/>
                <w:highlight w:val="none"/>
                <w:lang w:eastAsia="zh-CN"/>
              </w:rPr>
              <w:t>（</w:t>
            </w:r>
            <w:r>
              <w:rPr>
                <w:rFonts w:hint="eastAsia" w:ascii="宋体" w:hAnsi="宋体" w:eastAsia="宋体" w:cs="宋体"/>
                <w:b/>
                <w:bCs/>
                <w:color w:val="auto"/>
                <w:sz w:val="21"/>
                <w:szCs w:val="21"/>
                <w:highlight w:val="none"/>
              </w:rPr>
              <w:t>附件</w:t>
            </w:r>
            <w:r>
              <w:rPr>
                <w:rFonts w:hint="eastAsia" w:ascii="宋体" w:hAnsi="宋体" w:cs="宋体"/>
                <w:b/>
                <w:bCs/>
                <w:color w:val="auto"/>
                <w:sz w:val="21"/>
                <w:szCs w:val="21"/>
                <w:highlight w:val="none"/>
                <w:lang w:val="en-US" w:eastAsia="zh-CN"/>
              </w:rPr>
              <w:t>1：小榄镇除四害路段明细表</w:t>
            </w:r>
            <w:r>
              <w:rPr>
                <w:rFonts w:hint="eastAsia" w:ascii="宋体" w:hAnsi="宋体" w:cs="宋体"/>
                <w:b/>
                <w:bCs/>
                <w:color w:val="auto"/>
                <w:sz w:val="21"/>
                <w:szCs w:val="21"/>
                <w:highlight w:val="none"/>
                <w:lang w:eastAsia="zh-CN"/>
              </w:rPr>
              <w:t>）</w:t>
            </w:r>
            <w:r>
              <w:rPr>
                <w:rFonts w:hint="eastAsia" w:ascii="宋体" w:hAnsi="宋体" w:eastAsia="宋体" w:cs="宋体"/>
                <w:b/>
                <w:color w:val="auto"/>
                <w:sz w:val="21"/>
                <w:szCs w:val="21"/>
                <w:highlight w:val="none"/>
              </w:rPr>
              <w:t>。</w:t>
            </w:r>
          </w:p>
        </w:tc>
        <w:tc>
          <w:tcPr>
            <w:tcW w:w="816" w:type="pct"/>
            <w:shd w:val="clear" w:color="auto" w:fill="FFFFFF"/>
            <w:vAlign w:val="center"/>
          </w:tcPr>
          <w:p w14:paraId="17EF5B8C">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外环境</w:t>
            </w:r>
          </w:p>
        </w:tc>
      </w:tr>
      <w:tr w14:paraId="20F1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shd w:val="clear" w:color="auto" w:fill="FFFFFF"/>
            <w:vAlign w:val="center"/>
          </w:tcPr>
          <w:p w14:paraId="477514C5">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3732" w:type="pct"/>
            <w:shd w:val="clear" w:color="auto" w:fill="FFFFFF"/>
            <w:vAlign w:val="center"/>
          </w:tcPr>
          <w:p w14:paraId="37E25471">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小榄镇政府</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小榄镇政府第二办公区、中山市人力资源和社会保障局小榄</w:t>
            </w:r>
            <w:r>
              <w:rPr>
                <w:rFonts w:hint="eastAsia" w:ascii="宋体" w:hAnsi="宋体" w:eastAsia="宋体" w:cs="宋体"/>
                <w:color w:val="auto"/>
                <w:sz w:val="21"/>
                <w:szCs w:val="21"/>
                <w:highlight w:val="none"/>
              </w:rPr>
              <w:t>分局、</w:t>
            </w:r>
            <w:r>
              <w:rPr>
                <w:rFonts w:hint="eastAsia" w:ascii="宋体" w:hAnsi="宋体" w:eastAsia="宋体" w:cs="宋体"/>
                <w:color w:val="auto"/>
                <w:sz w:val="21"/>
                <w:szCs w:val="21"/>
                <w:highlight w:val="none"/>
                <w:lang w:eastAsia="zh-CN"/>
              </w:rPr>
              <w:t>小榄镇</w:t>
            </w:r>
            <w:r>
              <w:rPr>
                <w:rFonts w:hint="eastAsia" w:ascii="宋体" w:hAnsi="宋体" w:eastAsia="宋体" w:cs="宋体"/>
                <w:color w:val="auto"/>
                <w:sz w:val="21"/>
                <w:szCs w:val="21"/>
                <w:highlight w:val="none"/>
              </w:rPr>
              <w:t>综合行政执法局、</w:t>
            </w:r>
            <w:r>
              <w:rPr>
                <w:rFonts w:hint="eastAsia" w:ascii="宋体" w:hAnsi="宋体" w:eastAsia="宋体" w:cs="宋体"/>
                <w:color w:val="auto"/>
                <w:sz w:val="21"/>
                <w:szCs w:val="21"/>
                <w:highlight w:val="none"/>
                <w:lang w:eastAsia="zh-CN"/>
              </w:rPr>
              <w:t>小榄镇公共服务办公室是民政综合楼</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小榄镇</w:t>
            </w:r>
            <w:r>
              <w:rPr>
                <w:rFonts w:hint="eastAsia" w:ascii="宋体" w:hAnsi="宋体" w:eastAsia="宋体" w:cs="宋体"/>
                <w:color w:val="auto"/>
                <w:sz w:val="21"/>
                <w:szCs w:val="21"/>
                <w:highlight w:val="none"/>
              </w:rPr>
              <w:t>综合行政执法局第二办公区、</w:t>
            </w:r>
            <w:r>
              <w:rPr>
                <w:rFonts w:hint="eastAsia" w:ascii="宋体" w:hAnsi="宋体" w:eastAsia="宋体" w:cs="宋体"/>
                <w:color w:val="auto"/>
                <w:sz w:val="21"/>
                <w:szCs w:val="21"/>
                <w:highlight w:val="none"/>
                <w:lang w:eastAsia="zh-CN"/>
              </w:rPr>
              <w:t>中山市</w:t>
            </w:r>
            <w:r>
              <w:rPr>
                <w:rFonts w:hint="eastAsia" w:ascii="宋体" w:hAnsi="宋体" w:eastAsia="宋体" w:cs="宋体"/>
                <w:color w:val="auto"/>
                <w:sz w:val="21"/>
                <w:szCs w:val="21"/>
                <w:highlight w:val="none"/>
              </w:rPr>
              <w:t>市场监管</w:t>
            </w:r>
            <w:r>
              <w:rPr>
                <w:rFonts w:hint="eastAsia" w:ascii="宋体" w:hAnsi="宋体" w:eastAsia="宋体" w:cs="宋体"/>
                <w:color w:val="auto"/>
                <w:sz w:val="21"/>
                <w:szCs w:val="21"/>
                <w:highlight w:val="none"/>
                <w:lang w:eastAsia="zh-CN"/>
              </w:rPr>
              <w:t>局小榄</w:t>
            </w:r>
            <w:r>
              <w:rPr>
                <w:rFonts w:hint="eastAsia" w:ascii="宋体" w:hAnsi="宋体" w:eastAsia="宋体" w:cs="宋体"/>
                <w:color w:val="auto"/>
                <w:sz w:val="21"/>
                <w:szCs w:val="21"/>
                <w:highlight w:val="none"/>
              </w:rPr>
              <w:t>分局</w:t>
            </w:r>
            <w:r>
              <w:rPr>
                <w:rFonts w:hint="eastAsia" w:ascii="宋体" w:hAnsi="宋体" w:eastAsia="宋体" w:cs="宋体"/>
                <w:color w:val="auto"/>
                <w:sz w:val="21"/>
                <w:szCs w:val="21"/>
                <w:highlight w:val="none"/>
                <w:lang w:eastAsia="zh-CN"/>
              </w:rPr>
              <w:t>。</w:t>
            </w:r>
          </w:p>
        </w:tc>
        <w:tc>
          <w:tcPr>
            <w:tcW w:w="816" w:type="pct"/>
            <w:shd w:val="clear" w:color="auto" w:fill="FFFFFF"/>
            <w:vAlign w:val="center"/>
          </w:tcPr>
          <w:p w14:paraId="3B43BF02">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室内外环境</w:t>
            </w:r>
          </w:p>
        </w:tc>
      </w:tr>
      <w:tr w14:paraId="2C81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shd w:val="clear" w:color="auto" w:fill="FFFFFF"/>
            <w:vAlign w:val="center"/>
          </w:tcPr>
          <w:p w14:paraId="105267B3">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3732" w:type="pct"/>
            <w:shd w:val="clear" w:color="auto" w:fill="FFFFFF"/>
            <w:vAlign w:val="center"/>
          </w:tcPr>
          <w:p w14:paraId="0C85EA63">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小榄镇社区卫生服务中心等</w:t>
            </w:r>
            <w:r>
              <w:rPr>
                <w:rFonts w:hint="eastAsia" w:ascii="宋体" w:hAnsi="宋体" w:eastAsia="宋体" w:cs="宋体"/>
                <w:color w:val="auto"/>
                <w:sz w:val="21"/>
                <w:szCs w:val="21"/>
                <w:highlight w:val="none"/>
                <w:lang w:val="en-US" w:eastAsia="zh-CN"/>
              </w:rPr>
              <w:t>25个卫生站服务点</w:t>
            </w:r>
            <w:r>
              <w:rPr>
                <w:rFonts w:hint="eastAsia" w:ascii="宋体" w:hAnsi="宋体" w:eastAsia="宋体" w:cs="宋体"/>
                <w:b/>
                <w:bCs/>
                <w:color w:val="auto"/>
                <w:sz w:val="21"/>
                <w:szCs w:val="21"/>
                <w:highlight w:val="none"/>
                <w:lang w:val="en-US" w:eastAsia="zh-CN"/>
              </w:rPr>
              <w:t>（附件2</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小榄镇社区卫生服务机构）</w:t>
            </w:r>
          </w:p>
        </w:tc>
        <w:tc>
          <w:tcPr>
            <w:tcW w:w="816" w:type="pct"/>
            <w:shd w:val="clear" w:color="auto" w:fill="FFFFFF"/>
            <w:vAlign w:val="center"/>
          </w:tcPr>
          <w:p w14:paraId="3E199A8A">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snapToGrid/>
                <w:color w:val="auto"/>
                <w:kern w:val="2"/>
                <w:sz w:val="21"/>
                <w:szCs w:val="21"/>
                <w:highlight w:val="none"/>
                <w:lang w:val="en-US" w:eastAsia="zh-CN" w:bidi="ar-SA"/>
              </w:rPr>
            </w:pPr>
            <w:r>
              <w:rPr>
                <w:rFonts w:hint="eastAsia" w:ascii="宋体" w:hAnsi="宋体" w:eastAsia="宋体" w:cs="宋体"/>
                <w:color w:val="auto"/>
                <w:sz w:val="21"/>
                <w:szCs w:val="21"/>
                <w:highlight w:val="none"/>
              </w:rPr>
              <w:t>室内外环境</w:t>
            </w:r>
          </w:p>
        </w:tc>
      </w:tr>
      <w:tr w14:paraId="2C1A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1" w:type="pct"/>
            <w:shd w:val="clear" w:color="auto" w:fill="FFFFFF"/>
            <w:vAlign w:val="center"/>
          </w:tcPr>
          <w:p w14:paraId="34C348C0">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3732" w:type="pct"/>
            <w:shd w:val="clear" w:color="auto" w:fill="FFFFFF"/>
            <w:vAlign w:val="center"/>
          </w:tcPr>
          <w:p w14:paraId="687B6CBF">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rPr>
              <w:t>红山路公厕</w:t>
            </w:r>
            <w:r>
              <w:rPr>
                <w:rFonts w:hint="eastAsia" w:ascii="宋体" w:hAnsi="宋体" w:cs="宋体"/>
                <w:b w:val="0"/>
                <w:bCs/>
                <w:color w:val="auto"/>
                <w:sz w:val="21"/>
                <w:szCs w:val="21"/>
                <w:highlight w:val="none"/>
                <w:lang w:val="en-US" w:eastAsia="zh-CN"/>
              </w:rPr>
              <w:t>等27个公厕点</w:t>
            </w:r>
            <w:r>
              <w:rPr>
                <w:rFonts w:hint="eastAsia" w:ascii="宋体" w:hAnsi="宋体" w:cs="宋体"/>
                <w:b/>
                <w:color w:val="auto"/>
                <w:sz w:val="21"/>
                <w:szCs w:val="21"/>
                <w:highlight w:val="none"/>
                <w:lang w:val="en-US" w:eastAsia="zh-CN"/>
              </w:rPr>
              <w:t>（</w:t>
            </w:r>
            <w:r>
              <w:rPr>
                <w:rFonts w:hint="eastAsia" w:ascii="宋体" w:hAnsi="宋体" w:eastAsia="宋体" w:cs="宋体"/>
                <w:b/>
                <w:color w:val="auto"/>
                <w:sz w:val="21"/>
                <w:szCs w:val="21"/>
                <w:highlight w:val="none"/>
              </w:rPr>
              <w:t>附件</w:t>
            </w:r>
            <w:r>
              <w:rPr>
                <w:rFonts w:hint="eastAsia" w:ascii="宋体" w:hAnsi="宋体" w:eastAsia="宋体" w:cs="宋体"/>
                <w:b/>
                <w:color w:val="auto"/>
                <w:sz w:val="21"/>
                <w:szCs w:val="21"/>
                <w:highlight w:val="none"/>
                <w:lang w:val="en-US" w:eastAsia="zh-CN"/>
              </w:rPr>
              <w:t>3</w:t>
            </w:r>
            <w:r>
              <w:rPr>
                <w:rFonts w:hint="eastAsia" w:ascii="宋体" w:hAnsi="宋体" w:cs="宋体"/>
                <w:b/>
                <w:color w:val="auto"/>
                <w:sz w:val="21"/>
                <w:szCs w:val="21"/>
                <w:highlight w:val="none"/>
                <w:lang w:val="en-US" w:eastAsia="zh-CN"/>
              </w:rPr>
              <w:t>：</w:t>
            </w:r>
            <w:r>
              <w:rPr>
                <w:rFonts w:hint="eastAsia" w:ascii="宋体" w:hAnsi="宋体" w:eastAsia="宋体" w:cs="宋体"/>
                <w:b/>
                <w:color w:val="auto"/>
                <w:sz w:val="21"/>
                <w:szCs w:val="21"/>
                <w:highlight w:val="none"/>
                <w:lang w:val="en-US" w:eastAsia="zh-CN"/>
              </w:rPr>
              <w:t>小榄镇镇属公厕明细表</w:t>
            </w:r>
            <w:r>
              <w:rPr>
                <w:rFonts w:hint="eastAsia" w:ascii="宋体" w:hAnsi="宋体" w:cs="宋体"/>
                <w:b/>
                <w:color w:val="auto"/>
                <w:sz w:val="21"/>
                <w:szCs w:val="21"/>
                <w:highlight w:val="none"/>
                <w:lang w:val="en-US" w:eastAsia="zh-CN"/>
              </w:rPr>
              <w:t>）</w:t>
            </w:r>
          </w:p>
        </w:tc>
        <w:tc>
          <w:tcPr>
            <w:tcW w:w="816" w:type="pct"/>
            <w:shd w:val="clear" w:color="auto" w:fill="FFFFFF"/>
            <w:vAlign w:val="center"/>
          </w:tcPr>
          <w:p w14:paraId="6E82B30C">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内外环境</w:t>
            </w:r>
          </w:p>
        </w:tc>
      </w:tr>
    </w:tbl>
    <w:p w14:paraId="5CA44DED">
      <w:pPr>
        <w:pStyle w:val="5"/>
        <w:rPr>
          <w:color w:val="auto"/>
          <w:highlight w:val="none"/>
        </w:rPr>
      </w:pPr>
    </w:p>
    <w:p w14:paraId="3B6B4E8B">
      <w:pPr>
        <w:keepNext w:val="0"/>
        <w:keepLines w:val="0"/>
        <w:pageBreakBefore w:val="0"/>
        <w:widowControl w:val="0"/>
        <w:numPr>
          <w:ilvl w:val="0"/>
          <w:numId w:val="0"/>
        </w:numPr>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2.具体服务内容和要求：包含灭鼠、</w:t>
      </w:r>
      <w:r>
        <w:rPr>
          <w:rFonts w:hint="eastAsia" w:ascii="宋体" w:hAnsi="宋体" w:eastAsia="宋体" w:cs="宋体"/>
          <w:b/>
          <w:bCs/>
          <w:color w:val="auto"/>
          <w:sz w:val="21"/>
          <w:szCs w:val="21"/>
          <w:highlight w:val="none"/>
        </w:rPr>
        <w:t>灭蚊</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灭蝇</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灭蟑螂</w:t>
      </w:r>
      <w:r>
        <w:rPr>
          <w:rFonts w:hint="eastAsia" w:ascii="宋体" w:hAnsi="宋体" w:eastAsia="宋体" w:cs="宋体"/>
          <w:b/>
          <w:bCs/>
          <w:color w:val="auto"/>
          <w:sz w:val="21"/>
          <w:szCs w:val="21"/>
          <w:highlight w:val="none"/>
          <w:lang w:val="en-US" w:eastAsia="zh-CN"/>
        </w:rPr>
        <w:t>等</w:t>
      </w:r>
      <w:r>
        <w:rPr>
          <w:b/>
          <w:bCs/>
          <w:color w:val="auto"/>
          <w:highlight w:val="none"/>
        </w:rPr>
        <w:t>公共环境病媒生物防制服务</w:t>
      </w:r>
      <w:r>
        <w:rPr>
          <w:rFonts w:hint="eastAsia"/>
          <w:b/>
          <w:bCs/>
          <w:color w:val="auto"/>
          <w:highlight w:val="none"/>
          <w:lang w:eastAsia="zh-CN"/>
        </w:rPr>
        <w:t>。</w:t>
      </w:r>
    </w:p>
    <w:tbl>
      <w:tblPr>
        <w:tblStyle w:val="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6856"/>
        <w:gridCol w:w="1814"/>
      </w:tblGrid>
      <w:tr w14:paraId="7F27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41" w:type="pct"/>
            <w:shd w:val="clear" w:color="auto" w:fill="FFFFFF"/>
            <w:vAlign w:val="center"/>
          </w:tcPr>
          <w:p w14:paraId="0AC8AAE9">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服务项目</w:t>
            </w:r>
          </w:p>
        </w:tc>
        <w:tc>
          <w:tcPr>
            <w:tcW w:w="3209" w:type="pct"/>
            <w:shd w:val="clear" w:color="auto" w:fill="FFFFFF"/>
            <w:vAlign w:val="center"/>
          </w:tcPr>
          <w:p w14:paraId="18AFAF7D">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服务内容</w:t>
            </w:r>
          </w:p>
        </w:tc>
        <w:tc>
          <w:tcPr>
            <w:tcW w:w="849" w:type="pct"/>
            <w:shd w:val="clear" w:color="auto" w:fill="FFFFFF"/>
            <w:vAlign w:val="center"/>
          </w:tcPr>
          <w:p w14:paraId="153580B0">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服务要求</w:t>
            </w:r>
          </w:p>
        </w:tc>
      </w:tr>
      <w:tr w14:paraId="13E17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restart"/>
            <w:shd w:val="clear" w:color="auto" w:fill="FFFFFF"/>
            <w:vAlign w:val="center"/>
          </w:tcPr>
          <w:p w14:paraId="165FBA04">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灭鼠</w:t>
            </w:r>
          </w:p>
        </w:tc>
        <w:tc>
          <w:tcPr>
            <w:tcW w:w="3209" w:type="pct"/>
            <w:shd w:val="clear" w:color="auto" w:fill="FFFFFF"/>
            <w:vAlign w:val="center"/>
          </w:tcPr>
          <w:p w14:paraId="338E2D4A">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（1）服务范围内要饱和投放灭鼠药。</w:t>
            </w:r>
          </w:p>
        </w:tc>
        <w:tc>
          <w:tcPr>
            <w:tcW w:w="849" w:type="pct"/>
            <w:shd w:val="clear" w:color="auto" w:fill="FFFFFF"/>
            <w:vAlign w:val="center"/>
          </w:tcPr>
          <w:p w14:paraId="789E674C">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每月1次</w:t>
            </w:r>
          </w:p>
        </w:tc>
      </w:tr>
      <w:tr w14:paraId="09EDE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060C1132">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08447710">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（2）公共环境每月检查鼠迹，发现鼠迹立即清理并及时按常规投放和补充毒饵。</w:t>
            </w:r>
          </w:p>
        </w:tc>
        <w:tc>
          <w:tcPr>
            <w:tcW w:w="849" w:type="pct"/>
            <w:shd w:val="clear" w:color="auto" w:fill="FFFFFF"/>
            <w:vAlign w:val="center"/>
          </w:tcPr>
          <w:p w14:paraId="03227F68">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每月1次</w:t>
            </w:r>
          </w:p>
        </w:tc>
      </w:tr>
      <w:tr w14:paraId="16EA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2B3E69EA">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428A10D5">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（3）每月监测鼠情，按常规投药和补投药。特殊场所邻近周边如食品加工场所、农贸市场等。</w:t>
            </w:r>
          </w:p>
        </w:tc>
        <w:tc>
          <w:tcPr>
            <w:tcW w:w="849" w:type="pct"/>
            <w:shd w:val="clear" w:color="auto" w:fill="FFFFFF"/>
            <w:vAlign w:val="center"/>
          </w:tcPr>
          <w:p w14:paraId="4C466CA5">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每月1次</w:t>
            </w:r>
          </w:p>
        </w:tc>
      </w:tr>
      <w:tr w14:paraId="5F3B6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5D9C3B1A">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765A2E6C">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（4）住宅小区、待建工地每季度</w:t>
            </w:r>
            <w:r>
              <w:rPr>
                <w:rFonts w:hint="eastAsia" w:ascii="宋体" w:hAnsi="宋体" w:eastAsia="宋体" w:cs="宋体"/>
                <w:color w:val="auto"/>
                <w:sz w:val="21"/>
                <w:szCs w:val="21"/>
                <w:highlight w:val="none"/>
                <w:lang w:eastAsia="zh-CN"/>
              </w:rPr>
              <w:t>按</w:t>
            </w:r>
            <w:r>
              <w:rPr>
                <w:rFonts w:hint="eastAsia" w:ascii="宋体" w:hAnsi="宋体" w:eastAsia="宋体" w:cs="宋体"/>
                <w:color w:val="auto"/>
                <w:sz w:val="21"/>
                <w:szCs w:val="21"/>
                <w:highlight w:val="none"/>
                <w:lang w:val="en-US" w:eastAsia="zh-CN"/>
              </w:rPr>
              <w:t>10%比例抽样进行</w:t>
            </w:r>
            <w:r>
              <w:rPr>
                <w:rFonts w:hint="eastAsia" w:ascii="宋体" w:hAnsi="宋体" w:eastAsia="宋体" w:cs="宋体"/>
                <w:color w:val="auto"/>
                <w:sz w:val="21"/>
                <w:szCs w:val="21"/>
                <w:highlight w:val="none"/>
              </w:rPr>
              <w:t>入户问鼠情1次</w:t>
            </w:r>
          </w:p>
        </w:tc>
        <w:tc>
          <w:tcPr>
            <w:tcW w:w="849" w:type="pct"/>
            <w:shd w:val="clear" w:color="auto" w:fill="FFFFFF"/>
            <w:vAlign w:val="center"/>
          </w:tcPr>
          <w:p w14:paraId="768E8FBC">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每季度1次</w:t>
            </w:r>
          </w:p>
        </w:tc>
      </w:tr>
      <w:tr w14:paraId="46DEB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117A8383">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3F19C15A">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（5）每季度按国家考核标准对鼠密度进行监测。</w:t>
            </w:r>
          </w:p>
        </w:tc>
        <w:tc>
          <w:tcPr>
            <w:tcW w:w="849" w:type="pct"/>
            <w:shd w:val="clear" w:color="auto" w:fill="FFFFFF"/>
            <w:vAlign w:val="center"/>
          </w:tcPr>
          <w:p w14:paraId="7043DF5B">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每季度1次</w:t>
            </w:r>
          </w:p>
        </w:tc>
      </w:tr>
      <w:tr w14:paraId="71769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restart"/>
            <w:shd w:val="clear" w:color="auto" w:fill="FFFFFF"/>
            <w:vAlign w:val="center"/>
          </w:tcPr>
          <w:p w14:paraId="40BFA67D">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灭蚊</w:t>
            </w:r>
          </w:p>
        </w:tc>
        <w:tc>
          <w:tcPr>
            <w:tcW w:w="3209" w:type="pct"/>
            <w:shd w:val="clear" w:color="auto" w:fill="FFFFFF"/>
            <w:vAlign w:val="center"/>
          </w:tcPr>
          <w:p w14:paraId="5C4D695F">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（1）大、中型水体（养殖水体除外）每旬检查一次，发现有蚊幼虫孳生立即施药处理。</w:t>
            </w:r>
          </w:p>
        </w:tc>
        <w:tc>
          <w:tcPr>
            <w:tcW w:w="849" w:type="pct"/>
            <w:shd w:val="clear" w:color="auto" w:fill="FFFFFF"/>
            <w:vAlign w:val="center"/>
          </w:tcPr>
          <w:p w14:paraId="496C6736">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每旬1次</w:t>
            </w:r>
          </w:p>
        </w:tc>
      </w:tr>
      <w:tr w14:paraId="00A6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2108A9E3">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7CADA904">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（2）服务范围下水道沙井，每井吊挂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或投放</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含10克倍硫磷缓释剂（或其它相当剂量的灭蚊幼药物）1包，每月检查更换一次；防蚊闸或存水弯管吊挂含10克倍硫磷缓释剂（或其它相当剂量的灭蚊幼药物）1包，每月检查更换一次，控制蚊幼虫孳生。</w:t>
            </w:r>
          </w:p>
        </w:tc>
        <w:tc>
          <w:tcPr>
            <w:tcW w:w="849" w:type="pct"/>
            <w:shd w:val="clear" w:color="auto" w:fill="FFFFFF"/>
            <w:vAlign w:val="center"/>
          </w:tcPr>
          <w:p w14:paraId="3287E1E2">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每月1次</w:t>
            </w:r>
          </w:p>
        </w:tc>
      </w:tr>
      <w:tr w14:paraId="69116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60DB50BC">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6863E2BB">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（3）清理外环境各种小积水，或施药处理。</w:t>
            </w:r>
          </w:p>
        </w:tc>
        <w:tc>
          <w:tcPr>
            <w:tcW w:w="849" w:type="pct"/>
            <w:shd w:val="clear" w:color="auto" w:fill="FFFFFF"/>
            <w:vAlign w:val="center"/>
          </w:tcPr>
          <w:p w14:paraId="54E608EE">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每月1次</w:t>
            </w:r>
          </w:p>
        </w:tc>
      </w:tr>
      <w:tr w14:paraId="3313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5FAA287A">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7F7C2329">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eastAsia="zh-CN"/>
              </w:rPr>
              <w:t>小榄镇政府</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小榄镇政府第二办公区、中山市人力资源和社会保障局小榄</w:t>
            </w:r>
            <w:r>
              <w:rPr>
                <w:rFonts w:hint="eastAsia" w:ascii="宋体" w:hAnsi="宋体" w:eastAsia="宋体" w:cs="宋体"/>
                <w:color w:val="auto"/>
                <w:sz w:val="21"/>
                <w:szCs w:val="21"/>
                <w:highlight w:val="none"/>
              </w:rPr>
              <w:t>分局、</w:t>
            </w:r>
            <w:r>
              <w:rPr>
                <w:rFonts w:hint="eastAsia" w:ascii="宋体" w:hAnsi="宋体" w:eastAsia="宋体" w:cs="宋体"/>
                <w:color w:val="auto"/>
                <w:sz w:val="21"/>
                <w:szCs w:val="21"/>
                <w:highlight w:val="none"/>
                <w:lang w:eastAsia="zh-CN"/>
              </w:rPr>
              <w:t>小榄镇</w:t>
            </w:r>
            <w:r>
              <w:rPr>
                <w:rFonts w:hint="eastAsia" w:ascii="宋体" w:hAnsi="宋体" w:eastAsia="宋体" w:cs="宋体"/>
                <w:color w:val="auto"/>
                <w:sz w:val="21"/>
                <w:szCs w:val="21"/>
                <w:highlight w:val="none"/>
              </w:rPr>
              <w:t>综合行政执法局、</w:t>
            </w:r>
            <w:r>
              <w:rPr>
                <w:rFonts w:hint="eastAsia" w:ascii="宋体" w:hAnsi="宋体" w:eastAsia="宋体" w:cs="宋体"/>
                <w:color w:val="auto"/>
                <w:sz w:val="21"/>
                <w:szCs w:val="21"/>
                <w:highlight w:val="none"/>
                <w:lang w:eastAsia="zh-CN"/>
              </w:rPr>
              <w:t>小榄镇公共服务办公室是民政综合楼</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小榄镇</w:t>
            </w:r>
            <w:r>
              <w:rPr>
                <w:rFonts w:hint="eastAsia" w:ascii="宋体" w:hAnsi="宋体" w:eastAsia="宋体" w:cs="宋体"/>
                <w:color w:val="auto"/>
                <w:sz w:val="21"/>
                <w:szCs w:val="21"/>
                <w:highlight w:val="none"/>
              </w:rPr>
              <w:t>综合行政执法局第二办公区、</w:t>
            </w:r>
            <w:r>
              <w:rPr>
                <w:rFonts w:hint="eastAsia" w:ascii="宋体" w:hAnsi="宋体" w:eastAsia="宋体" w:cs="宋体"/>
                <w:color w:val="auto"/>
                <w:sz w:val="21"/>
                <w:szCs w:val="21"/>
                <w:highlight w:val="none"/>
                <w:lang w:eastAsia="zh-CN"/>
              </w:rPr>
              <w:t>中山市</w:t>
            </w:r>
            <w:r>
              <w:rPr>
                <w:rFonts w:hint="eastAsia" w:ascii="宋体" w:hAnsi="宋体" w:eastAsia="宋体" w:cs="宋体"/>
                <w:color w:val="auto"/>
                <w:sz w:val="21"/>
                <w:szCs w:val="21"/>
                <w:highlight w:val="none"/>
              </w:rPr>
              <w:t>市场监管</w:t>
            </w:r>
            <w:r>
              <w:rPr>
                <w:rFonts w:hint="eastAsia" w:ascii="宋体" w:hAnsi="宋体" w:eastAsia="宋体" w:cs="宋体"/>
                <w:color w:val="auto"/>
                <w:sz w:val="21"/>
                <w:szCs w:val="21"/>
                <w:highlight w:val="none"/>
                <w:lang w:eastAsia="zh-CN"/>
              </w:rPr>
              <w:t>局小榄</w:t>
            </w:r>
            <w:r>
              <w:rPr>
                <w:rFonts w:hint="eastAsia" w:ascii="宋体" w:hAnsi="宋体" w:eastAsia="宋体" w:cs="宋体"/>
                <w:color w:val="auto"/>
                <w:sz w:val="21"/>
                <w:szCs w:val="21"/>
                <w:highlight w:val="none"/>
              </w:rPr>
              <w:t>分局</w:t>
            </w:r>
            <w:r>
              <w:rPr>
                <w:rFonts w:hint="eastAsia" w:ascii="宋体" w:hAnsi="宋体" w:eastAsia="宋体" w:cs="宋体"/>
                <w:color w:val="auto"/>
                <w:sz w:val="21"/>
                <w:szCs w:val="21"/>
                <w:highlight w:val="none"/>
                <w:lang w:eastAsia="zh-CN"/>
              </w:rPr>
              <w:t>、小榄镇社区卫生服务中心等</w:t>
            </w:r>
            <w:r>
              <w:rPr>
                <w:rFonts w:hint="eastAsia" w:ascii="宋体" w:hAnsi="宋体" w:eastAsia="宋体" w:cs="宋体"/>
                <w:color w:val="auto"/>
                <w:sz w:val="21"/>
                <w:szCs w:val="21"/>
                <w:highlight w:val="none"/>
                <w:lang w:val="en-US" w:eastAsia="zh-CN"/>
              </w:rPr>
              <w:t>25个卫生站服务点</w:t>
            </w:r>
            <w:r>
              <w:rPr>
                <w:rFonts w:hint="eastAsia" w:ascii="宋体" w:hAnsi="宋体" w:eastAsia="宋体" w:cs="宋体"/>
                <w:color w:val="auto"/>
                <w:sz w:val="21"/>
                <w:szCs w:val="21"/>
                <w:highlight w:val="none"/>
              </w:rPr>
              <w:t>每月</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次全面喷杀成蚊、机械烟薰下水道、检查治理孳生地。</w:t>
            </w:r>
          </w:p>
        </w:tc>
        <w:tc>
          <w:tcPr>
            <w:tcW w:w="849" w:type="pct"/>
            <w:shd w:val="clear" w:color="auto" w:fill="FFFFFF"/>
            <w:vAlign w:val="center"/>
          </w:tcPr>
          <w:p w14:paraId="1C48B8CF">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次</w:t>
            </w:r>
          </w:p>
        </w:tc>
      </w:tr>
      <w:tr w14:paraId="5D57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38E0D76D">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54494983">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（5）公共场所绿化带、下水道、河涌两岸、杂草地、路边垃圾桶和临时垃圾收集点等每月2次全面喷杀成蚊、机械烟薰下水道、检查治理孳生地。</w:t>
            </w:r>
          </w:p>
        </w:tc>
        <w:tc>
          <w:tcPr>
            <w:tcW w:w="849" w:type="pct"/>
            <w:shd w:val="clear" w:color="auto" w:fill="FFFFFF"/>
            <w:vAlign w:val="center"/>
          </w:tcPr>
          <w:p w14:paraId="4F95D6B8">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每月2次</w:t>
            </w:r>
          </w:p>
        </w:tc>
      </w:tr>
      <w:tr w14:paraId="6BA2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49D0AE00">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674EECE6">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（6）每季度按国家考核标准对蚊密度进行监测。</w:t>
            </w:r>
          </w:p>
        </w:tc>
        <w:tc>
          <w:tcPr>
            <w:tcW w:w="849" w:type="pct"/>
            <w:shd w:val="clear" w:color="auto" w:fill="FFFFFF"/>
            <w:vAlign w:val="center"/>
          </w:tcPr>
          <w:p w14:paraId="199DFEB0">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每季度1次</w:t>
            </w:r>
          </w:p>
        </w:tc>
      </w:tr>
      <w:tr w14:paraId="060A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restart"/>
            <w:shd w:val="clear" w:color="auto" w:fill="FFFFFF"/>
            <w:vAlign w:val="center"/>
          </w:tcPr>
          <w:p w14:paraId="3494AE40">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灭蝇</w:t>
            </w:r>
          </w:p>
        </w:tc>
        <w:tc>
          <w:tcPr>
            <w:tcW w:w="3209" w:type="pct"/>
            <w:shd w:val="clear" w:color="auto" w:fill="FFFFFF"/>
            <w:vAlign w:val="center"/>
          </w:tcPr>
          <w:p w14:paraId="2E9D0716">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（1）服务范围垃圾屋、垃圾池、垃圾桶、垃圾车及卫生死角、垃圾堆，每月喷药一次。</w:t>
            </w:r>
          </w:p>
        </w:tc>
        <w:tc>
          <w:tcPr>
            <w:tcW w:w="849" w:type="pct"/>
            <w:shd w:val="clear" w:color="auto" w:fill="FFFFFF"/>
            <w:vAlign w:val="center"/>
          </w:tcPr>
          <w:p w14:paraId="167DA01D">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每月1次</w:t>
            </w:r>
          </w:p>
        </w:tc>
      </w:tr>
      <w:tr w14:paraId="6851E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18DFCCF5">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08A1AB88">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（2）农贸市场等场所周边邻近100米范围内，每月滞留喷洒灭蝇一次。</w:t>
            </w:r>
          </w:p>
        </w:tc>
        <w:tc>
          <w:tcPr>
            <w:tcW w:w="849" w:type="pct"/>
            <w:shd w:val="clear" w:color="auto" w:fill="FFFFFF"/>
            <w:vAlign w:val="center"/>
          </w:tcPr>
          <w:p w14:paraId="537B1EF2">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每月1次</w:t>
            </w:r>
          </w:p>
        </w:tc>
      </w:tr>
      <w:tr w14:paraId="1118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61C22368">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62DF50F7">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（3）每季度按国家考核标准对成蝇密度进行监测。</w:t>
            </w:r>
          </w:p>
        </w:tc>
        <w:tc>
          <w:tcPr>
            <w:tcW w:w="849" w:type="pct"/>
            <w:shd w:val="clear" w:color="auto" w:fill="FFFFFF"/>
            <w:vAlign w:val="center"/>
          </w:tcPr>
          <w:p w14:paraId="14376E47">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每季度1次</w:t>
            </w:r>
          </w:p>
        </w:tc>
      </w:tr>
      <w:tr w14:paraId="1CE6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restart"/>
            <w:shd w:val="clear" w:color="auto" w:fill="FFFFFF"/>
            <w:vAlign w:val="center"/>
          </w:tcPr>
          <w:p w14:paraId="758AC416">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灭蟑螂</w:t>
            </w:r>
          </w:p>
        </w:tc>
        <w:tc>
          <w:tcPr>
            <w:tcW w:w="3209" w:type="pct"/>
            <w:shd w:val="clear" w:color="auto" w:fill="FFFFFF"/>
            <w:vAlign w:val="center"/>
          </w:tcPr>
          <w:p w14:paraId="03197388">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（1）农贸市场等场所周边邻近100米范围内公共环境，每月喷药灭蟑检查蟑迹。</w:t>
            </w:r>
          </w:p>
        </w:tc>
        <w:tc>
          <w:tcPr>
            <w:tcW w:w="849" w:type="pct"/>
            <w:shd w:val="clear" w:color="auto" w:fill="FFFFFF"/>
            <w:vAlign w:val="center"/>
          </w:tcPr>
          <w:p w14:paraId="2F18340E">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每月1次</w:t>
            </w:r>
          </w:p>
        </w:tc>
      </w:tr>
      <w:tr w14:paraId="36E93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56C22465">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6B6ABF74">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（2）服务范围公共场所的所有下水道，每月进行机械热烟雾薰杀灭蟑一次。</w:t>
            </w:r>
          </w:p>
        </w:tc>
        <w:tc>
          <w:tcPr>
            <w:tcW w:w="849" w:type="pct"/>
            <w:shd w:val="clear" w:color="auto" w:fill="FFFFFF"/>
            <w:vAlign w:val="center"/>
          </w:tcPr>
          <w:p w14:paraId="2B668DA6">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每月1次</w:t>
            </w:r>
          </w:p>
        </w:tc>
      </w:tr>
      <w:tr w14:paraId="7CA3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51FEF6A1">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38073891">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（3）每季度按国家考核标准对蟑螂密度进行监测。</w:t>
            </w:r>
          </w:p>
        </w:tc>
        <w:tc>
          <w:tcPr>
            <w:tcW w:w="849" w:type="pct"/>
            <w:shd w:val="clear" w:color="auto" w:fill="FFFFFF"/>
            <w:vAlign w:val="center"/>
          </w:tcPr>
          <w:p w14:paraId="17943CB2">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每季度1次</w:t>
            </w:r>
          </w:p>
        </w:tc>
      </w:tr>
      <w:tr w14:paraId="74FB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restart"/>
            <w:shd w:val="clear" w:color="auto" w:fill="FFFFFF"/>
            <w:vAlign w:val="center"/>
          </w:tcPr>
          <w:p w14:paraId="04DD8185">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w:t>
            </w:r>
          </w:p>
        </w:tc>
        <w:tc>
          <w:tcPr>
            <w:tcW w:w="3209" w:type="pct"/>
            <w:shd w:val="clear" w:color="auto" w:fill="FFFFFF"/>
            <w:vAlign w:val="center"/>
          </w:tcPr>
          <w:p w14:paraId="608A825C">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（1）每季度向居民住户调查问询四害情况，每片区问询住户不少于</w:t>
            </w:r>
            <w:r>
              <w:rPr>
                <w:rFonts w:hint="eastAsia" w:ascii="宋体" w:hAnsi="宋体" w:eastAsia="宋体" w:cs="宋体"/>
                <w:color w:val="auto"/>
                <w:sz w:val="21"/>
                <w:szCs w:val="21"/>
                <w:highlight w:val="none"/>
                <w:lang w:val="en-US" w:eastAsia="zh-CN"/>
              </w:rPr>
              <w:t>50</w:t>
            </w:r>
            <w:r>
              <w:rPr>
                <w:rFonts w:hint="eastAsia" w:ascii="宋体" w:hAnsi="宋体" w:eastAsia="宋体" w:cs="宋体"/>
                <w:color w:val="auto"/>
                <w:sz w:val="21"/>
                <w:szCs w:val="21"/>
                <w:highlight w:val="none"/>
              </w:rPr>
              <w:t>户，免费向各社区、市民宣传四害防治知识和进行技术指导。</w:t>
            </w:r>
          </w:p>
        </w:tc>
        <w:tc>
          <w:tcPr>
            <w:tcW w:w="849" w:type="pct"/>
            <w:shd w:val="clear" w:color="auto" w:fill="FFFFFF"/>
            <w:vAlign w:val="center"/>
          </w:tcPr>
          <w:p w14:paraId="254404E0">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每季度1次</w:t>
            </w:r>
          </w:p>
        </w:tc>
      </w:tr>
      <w:tr w14:paraId="01E0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5E012BF1">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3209" w:type="pct"/>
            <w:shd w:val="clear" w:color="auto" w:fill="FFFFFF"/>
            <w:vAlign w:val="center"/>
          </w:tcPr>
          <w:p w14:paraId="5A46D7DC">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（2）每季度按政府要求提供季度工作总结。</w:t>
            </w:r>
          </w:p>
        </w:tc>
        <w:tc>
          <w:tcPr>
            <w:tcW w:w="849" w:type="pct"/>
            <w:shd w:val="clear" w:color="auto" w:fill="FFFFFF"/>
            <w:vAlign w:val="center"/>
          </w:tcPr>
          <w:p w14:paraId="184BDE8E">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每季度1次</w:t>
            </w:r>
          </w:p>
        </w:tc>
      </w:tr>
      <w:tr w14:paraId="0683D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vMerge w:val="continue"/>
            <w:vAlign w:val="center"/>
          </w:tcPr>
          <w:p w14:paraId="1DB4C154">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p>
        </w:tc>
        <w:tc>
          <w:tcPr>
            <w:tcW w:w="4058" w:type="pct"/>
            <w:gridSpan w:val="2"/>
            <w:shd w:val="clear" w:color="auto" w:fill="FFFFFF"/>
            <w:vAlign w:val="center"/>
          </w:tcPr>
          <w:p w14:paraId="12D1BD1F">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根据采购人要求，对以下健康教育宣传栏、巩卫广告牌进行定期更新（含设计、拆装），内容、材质、更新时间由采购人指定，如遇破损，及时更换（破损更换不纳入更新次数）。</w:t>
            </w:r>
          </w:p>
        </w:tc>
      </w:tr>
      <w:tr w14:paraId="1086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shd w:val="clear" w:color="auto" w:fill="FFFFFF"/>
            <w:vAlign w:val="center"/>
          </w:tcPr>
          <w:p w14:paraId="0EB574D0">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健康教育宣传位置及尺寸</w:t>
            </w:r>
          </w:p>
        </w:tc>
        <w:tc>
          <w:tcPr>
            <w:tcW w:w="3209" w:type="pct"/>
            <w:shd w:val="clear" w:color="auto" w:fill="FFFFFF"/>
            <w:vAlign w:val="center"/>
          </w:tcPr>
          <w:p w14:paraId="0297614D">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第二办公区围墙：6.7m*1.2m，</w:t>
            </w:r>
          </w:p>
          <w:p w14:paraId="62634A5C">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东升公园</w:t>
            </w:r>
            <w:r>
              <w:rPr>
                <w:rFonts w:hint="eastAsia" w:ascii="宋体" w:hAnsi="宋体" w:eastAsia="宋体" w:cs="宋体"/>
                <w:color w:val="auto"/>
                <w:sz w:val="21"/>
                <w:szCs w:val="21"/>
                <w:highlight w:val="none"/>
              </w:rPr>
              <w:t>宣传栏：5.1m*1.5m</w:t>
            </w:r>
            <w:r>
              <w:rPr>
                <w:rFonts w:hint="eastAsia" w:ascii="宋体" w:hAnsi="宋体" w:eastAsia="宋体" w:cs="宋体"/>
                <w:color w:val="auto"/>
                <w:sz w:val="21"/>
                <w:szCs w:val="21"/>
                <w:highlight w:val="none"/>
                <w:lang w:eastAsia="zh-CN"/>
              </w:rPr>
              <w:t>。</w:t>
            </w:r>
          </w:p>
        </w:tc>
        <w:tc>
          <w:tcPr>
            <w:tcW w:w="849" w:type="pct"/>
            <w:shd w:val="clear" w:color="auto" w:fill="FFFFFF"/>
            <w:vAlign w:val="center"/>
          </w:tcPr>
          <w:p w14:paraId="65515ADD">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每一个季度更新一次</w:t>
            </w:r>
          </w:p>
        </w:tc>
      </w:tr>
      <w:tr w14:paraId="3A2D5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shd w:val="clear" w:color="auto" w:fill="FFFFFF"/>
            <w:vAlign w:val="center"/>
          </w:tcPr>
          <w:p w14:paraId="5A8612A9">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巩卫</w:t>
            </w:r>
            <w:r>
              <w:rPr>
                <w:rFonts w:hint="eastAsia" w:ascii="宋体" w:hAnsi="宋体" w:eastAsia="宋体" w:cs="宋体"/>
                <w:color w:val="auto"/>
                <w:sz w:val="21"/>
                <w:szCs w:val="21"/>
                <w:highlight w:val="none"/>
                <w:lang w:eastAsia="zh-CN"/>
              </w:rPr>
              <w:t>、健康乡镇</w:t>
            </w:r>
            <w:r>
              <w:rPr>
                <w:rFonts w:hint="eastAsia" w:ascii="宋体" w:hAnsi="宋体" w:eastAsia="宋体" w:cs="宋体"/>
                <w:color w:val="auto"/>
                <w:sz w:val="21"/>
                <w:szCs w:val="21"/>
                <w:highlight w:val="none"/>
              </w:rPr>
              <w:t>广告牌位置及尺寸</w:t>
            </w:r>
          </w:p>
        </w:tc>
        <w:tc>
          <w:tcPr>
            <w:tcW w:w="3209" w:type="pct"/>
            <w:shd w:val="clear" w:color="auto" w:fill="FFFFFF"/>
            <w:vAlign w:val="center"/>
          </w:tcPr>
          <w:p w14:paraId="5246AC50">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原中永加油站：15.9m*7m</w:t>
            </w:r>
          </w:p>
        </w:tc>
        <w:tc>
          <w:tcPr>
            <w:tcW w:w="849" w:type="pct"/>
            <w:shd w:val="clear" w:color="auto" w:fill="FFFFFF"/>
            <w:vAlign w:val="center"/>
          </w:tcPr>
          <w:p w14:paraId="260536DB">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每年更新2次</w:t>
            </w:r>
          </w:p>
        </w:tc>
      </w:tr>
      <w:tr w14:paraId="185F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shd w:val="clear" w:color="auto" w:fill="FFFFFF"/>
            <w:vAlign w:val="center"/>
          </w:tcPr>
          <w:p w14:paraId="548A48C6">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其他巩卫</w:t>
            </w:r>
            <w:r>
              <w:rPr>
                <w:rFonts w:hint="eastAsia" w:ascii="宋体" w:hAnsi="宋体" w:eastAsia="宋体" w:cs="宋体"/>
                <w:color w:val="auto"/>
                <w:sz w:val="21"/>
                <w:szCs w:val="21"/>
                <w:highlight w:val="none"/>
                <w:lang w:eastAsia="zh-CN"/>
              </w:rPr>
              <w:t>、健康乡镇</w:t>
            </w:r>
            <w:r>
              <w:rPr>
                <w:rFonts w:hint="eastAsia" w:ascii="宋体" w:hAnsi="宋体" w:eastAsia="宋体" w:cs="宋体"/>
                <w:color w:val="auto"/>
                <w:sz w:val="21"/>
                <w:szCs w:val="21"/>
                <w:highlight w:val="none"/>
              </w:rPr>
              <w:t>宣传喷画、横幅</w:t>
            </w:r>
          </w:p>
        </w:tc>
        <w:tc>
          <w:tcPr>
            <w:tcW w:w="3209" w:type="pct"/>
            <w:shd w:val="clear" w:color="auto" w:fill="FFFFFF"/>
            <w:vAlign w:val="center"/>
          </w:tcPr>
          <w:p w14:paraId="5BAE1BAE">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按采购人要求制作</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含设计、拆装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宣传喷画、横幅，</w:t>
            </w:r>
            <w:r>
              <w:rPr>
                <w:rFonts w:hint="eastAsia" w:ascii="宋体" w:hAnsi="宋体" w:eastAsia="宋体" w:cs="宋体"/>
                <w:color w:val="auto"/>
                <w:sz w:val="21"/>
                <w:szCs w:val="21"/>
                <w:highlight w:val="none"/>
                <w:lang w:eastAsia="zh-CN"/>
              </w:rPr>
              <w:t>展架等</w:t>
            </w:r>
            <w:r>
              <w:rPr>
                <w:rFonts w:hint="eastAsia" w:ascii="宋体" w:hAnsi="宋体" w:eastAsia="宋体" w:cs="宋体"/>
                <w:color w:val="auto"/>
                <w:sz w:val="21"/>
                <w:szCs w:val="21"/>
                <w:highlight w:val="none"/>
              </w:rPr>
              <w:t>内容、位置、材质由采购人指定</w:t>
            </w:r>
            <w:r>
              <w:rPr>
                <w:rFonts w:hint="eastAsia" w:ascii="宋体" w:hAnsi="宋体" w:eastAsia="宋体" w:cs="宋体"/>
                <w:color w:val="auto"/>
                <w:sz w:val="21"/>
                <w:szCs w:val="21"/>
                <w:highlight w:val="none"/>
                <w:lang w:eastAsia="zh-CN"/>
              </w:rPr>
              <w:t>。</w:t>
            </w:r>
          </w:p>
        </w:tc>
        <w:tc>
          <w:tcPr>
            <w:tcW w:w="849" w:type="pct"/>
            <w:shd w:val="clear" w:color="auto" w:fill="FFFFFF"/>
            <w:vAlign w:val="center"/>
          </w:tcPr>
          <w:p w14:paraId="7C5B23BF">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总面积不超过</w:t>
            </w:r>
            <w:r>
              <w:rPr>
                <w:rFonts w:hint="eastAsia" w:ascii="宋体" w:hAnsi="宋体" w:eastAsia="宋体" w:cs="宋体"/>
                <w:color w:val="auto"/>
                <w:sz w:val="21"/>
                <w:szCs w:val="21"/>
                <w:highlight w:val="none"/>
                <w:lang w:val="en-US" w:eastAsia="zh-CN"/>
              </w:rPr>
              <w:t>250</w:t>
            </w:r>
            <w:r>
              <w:rPr>
                <w:rFonts w:hint="eastAsia" w:ascii="宋体" w:hAnsi="宋体" w:eastAsia="宋体" w:cs="宋体"/>
                <w:color w:val="auto"/>
                <w:sz w:val="21"/>
                <w:szCs w:val="21"/>
                <w:highlight w:val="none"/>
              </w:rPr>
              <w:t>平方米</w:t>
            </w:r>
          </w:p>
        </w:tc>
      </w:tr>
      <w:tr w14:paraId="5737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 w:type="pct"/>
            <w:shd w:val="clear" w:color="auto" w:fill="FFFFFF"/>
            <w:vAlign w:val="center"/>
          </w:tcPr>
          <w:p w14:paraId="3B8D0D4E">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业务培训</w:t>
            </w:r>
          </w:p>
        </w:tc>
        <w:tc>
          <w:tcPr>
            <w:tcW w:w="3209" w:type="pct"/>
            <w:shd w:val="clear" w:color="auto" w:fill="FFFFFF"/>
            <w:vAlign w:val="center"/>
          </w:tcPr>
          <w:p w14:paraId="17B2785C">
            <w:pPr>
              <w:keepNext w:val="0"/>
              <w:keepLines w:val="0"/>
              <w:pageBreakBefore w:val="0"/>
              <w:widowControl w:val="0"/>
              <w:kinsoku/>
              <w:wordWrap w:val="0"/>
              <w:overflowPunct/>
              <w:topLinePunct w:val="0"/>
              <w:autoSpaceDE/>
              <w:autoSpaceDN/>
              <w:bidi w:val="0"/>
              <w:adjustRightInd/>
              <w:snapToGrid/>
              <w:spacing w:after="0" w:afterLines="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每年组织省市专家开展病媒生物防制知识培训班，所邀请专家需经采购人同意，培训时间、培训主要内容由采购人指定。</w:t>
            </w:r>
          </w:p>
        </w:tc>
        <w:tc>
          <w:tcPr>
            <w:tcW w:w="849" w:type="pct"/>
            <w:shd w:val="clear" w:color="auto" w:fill="FFFFFF"/>
            <w:vAlign w:val="center"/>
          </w:tcPr>
          <w:p w14:paraId="22DACFD3">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一年至少一次</w:t>
            </w:r>
          </w:p>
        </w:tc>
      </w:tr>
    </w:tbl>
    <w:p w14:paraId="2B328765">
      <w:pPr>
        <w:keepNext w:val="0"/>
        <w:keepLines w:val="0"/>
        <w:pageBreakBefore w:val="0"/>
        <w:widowControl w:val="0"/>
        <w:numPr>
          <w:ilvl w:val="0"/>
          <w:numId w:val="0"/>
        </w:numPr>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3.项目要求</w:t>
      </w:r>
    </w:p>
    <w:p w14:paraId="1FDF8F1C">
      <w:pPr>
        <w:keepNext w:val="0"/>
        <w:keepLines w:val="0"/>
        <w:pageBreakBefore w:val="0"/>
        <w:widowControl w:val="0"/>
        <w:numPr>
          <w:ilvl w:val="0"/>
          <w:numId w:val="0"/>
        </w:numPr>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(1)针对本项目的服务范围和需求，应投入不少于12人开展工作，作业人员必须为法定工作年龄内，不得聘用超龄人员作业。</w:t>
      </w:r>
    </w:p>
    <w:p w14:paraId="2AFEF0D4">
      <w:pPr>
        <w:keepNext w:val="0"/>
        <w:keepLines w:val="0"/>
        <w:pageBreakBefore w:val="0"/>
        <w:widowControl w:val="0"/>
        <w:numPr>
          <w:ilvl w:val="0"/>
          <w:numId w:val="0"/>
        </w:numPr>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(2)针对本项目的服务范围和需求，投入设备基本配置数量及要求应达到下表要求（投标文件中应按下表要求提供相关证明材料复印件并加盖公章，内容需要清晰容易辨认）：</w:t>
      </w:r>
    </w:p>
    <w:tbl>
      <w:tblPr>
        <w:tblStyle w:val="3"/>
        <w:tblW w:w="4997" w:type="pct"/>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40"/>
        <w:gridCol w:w="2794"/>
        <w:gridCol w:w="4395"/>
        <w:gridCol w:w="2447"/>
      </w:tblGrid>
      <w:tr w14:paraId="6E50F7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195484">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序号</w:t>
            </w:r>
          </w:p>
        </w:tc>
        <w:tc>
          <w:tcPr>
            <w:tcW w:w="130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DC569E">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设备名称</w:t>
            </w:r>
          </w:p>
        </w:tc>
        <w:tc>
          <w:tcPr>
            <w:tcW w:w="20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B56EF3">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要求</w:t>
            </w:r>
          </w:p>
        </w:tc>
        <w:tc>
          <w:tcPr>
            <w:tcW w:w="114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122643">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数量</w:t>
            </w:r>
          </w:p>
        </w:tc>
      </w:tr>
      <w:tr w14:paraId="50E573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87" w:type="pct"/>
            <w:tcBorders>
              <w:top w:val="nil"/>
              <w:left w:val="single" w:color="000000" w:sz="4" w:space="0"/>
              <w:bottom w:val="single" w:color="000000" w:sz="4" w:space="0"/>
              <w:right w:val="single" w:color="000000" w:sz="4" w:space="0"/>
            </w:tcBorders>
            <w:vAlign w:val="center"/>
          </w:tcPr>
          <w:p w14:paraId="631D14BA">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08" w:type="pct"/>
            <w:tcBorders>
              <w:top w:val="nil"/>
              <w:left w:val="single" w:color="000000" w:sz="4" w:space="0"/>
              <w:bottom w:val="single" w:color="000000" w:sz="4" w:space="0"/>
              <w:right w:val="single" w:color="000000" w:sz="4" w:space="0"/>
            </w:tcBorders>
            <w:vAlign w:val="center"/>
          </w:tcPr>
          <w:p w14:paraId="0DC6A297">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背负式</w:t>
            </w:r>
            <w:r>
              <w:rPr>
                <w:rFonts w:hint="eastAsia" w:ascii="宋体" w:hAnsi="宋体" w:eastAsia="宋体" w:cs="宋体"/>
                <w:color w:val="auto"/>
                <w:sz w:val="21"/>
                <w:szCs w:val="21"/>
                <w:highlight w:val="none"/>
              </w:rPr>
              <w:t>超低容量喷雾机</w:t>
            </w:r>
          </w:p>
        </w:tc>
        <w:tc>
          <w:tcPr>
            <w:tcW w:w="2057" w:type="pct"/>
            <w:tcBorders>
              <w:top w:val="nil"/>
              <w:left w:val="single" w:color="000000" w:sz="4" w:space="0"/>
              <w:bottom w:val="single" w:color="000000" w:sz="4" w:space="0"/>
              <w:right w:val="single" w:color="000000" w:sz="4" w:space="0"/>
            </w:tcBorders>
            <w:vAlign w:val="center"/>
          </w:tcPr>
          <w:p w14:paraId="5B16BB2F">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可正常使用</w:t>
            </w:r>
          </w:p>
        </w:tc>
        <w:tc>
          <w:tcPr>
            <w:tcW w:w="1145" w:type="pct"/>
            <w:tcBorders>
              <w:top w:val="nil"/>
              <w:left w:val="single" w:color="000000" w:sz="4" w:space="0"/>
              <w:bottom w:val="single" w:color="000000" w:sz="4" w:space="0"/>
              <w:right w:val="single" w:color="000000" w:sz="4" w:space="0"/>
            </w:tcBorders>
            <w:vAlign w:val="center"/>
          </w:tcPr>
          <w:p w14:paraId="2A194987">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不少于8台</w:t>
            </w:r>
          </w:p>
        </w:tc>
      </w:tr>
      <w:tr w14:paraId="5C0A62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87" w:type="pct"/>
            <w:tcBorders>
              <w:top w:val="nil"/>
              <w:left w:val="single" w:color="000000" w:sz="4" w:space="0"/>
              <w:bottom w:val="single" w:color="000000" w:sz="4" w:space="0"/>
              <w:right w:val="single" w:color="000000" w:sz="4" w:space="0"/>
            </w:tcBorders>
            <w:vAlign w:val="center"/>
          </w:tcPr>
          <w:p w14:paraId="0D1F5724">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1308" w:type="pct"/>
            <w:tcBorders>
              <w:top w:val="nil"/>
              <w:left w:val="single" w:color="000000" w:sz="4" w:space="0"/>
              <w:bottom w:val="single" w:color="000000" w:sz="4" w:space="0"/>
              <w:right w:val="single" w:color="000000" w:sz="4" w:space="0"/>
            </w:tcBorders>
            <w:vAlign w:val="center"/>
          </w:tcPr>
          <w:p w14:paraId="0F0E367B">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车载超低容喷雾器</w:t>
            </w:r>
          </w:p>
        </w:tc>
        <w:tc>
          <w:tcPr>
            <w:tcW w:w="2057" w:type="pct"/>
            <w:tcBorders>
              <w:top w:val="nil"/>
              <w:left w:val="single" w:color="000000" w:sz="4" w:space="0"/>
              <w:bottom w:val="single" w:color="000000" w:sz="4" w:space="0"/>
              <w:right w:val="single" w:color="000000" w:sz="4" w:space="0"/>
            </w:tcBorders>
            <w:vAlign w:val="center"/>
          </w:tcPr>
          <w:p w14:paraId="66436E7B">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可正常使用</w:t>
            </w:r>
          </w:p>
        </w:tc>
        <w:tc>
          <w:tcPr>
            <w:tcW w:w="1145" w:type="pct"/>
            <w:tcBorders>
              <w:top w:val="nil"/>
              <w:left w:val="single" w:color="000000" w:sz="4" w:space="0"/>
              <w:bottom w:val="single" w:color="000000" w:sz="4" w:space="0"/>
              <w:right w:val="single" w:color="000000" w:sz="4" w:space="0"/>
            </w:tcBorders>
            <w:vAlign w:val="center"/>
          </w:tcPr>
          <w:p w14:paraId="71769CC2">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不少于</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台</w:t>
            </w:r>
          </w:p>
        </w:tc>
      </w:tr>
      <w:tr w14:paraId="346F1C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87" w:type="pct"/>
            <w:tcBorders>
              <w:top w:val="nil"/>
              <w:left w:val="single" w:color="000000" w:sz="4" w:space="0"/>
              <w:bottom w:val="single" w:color="000000" w:sz="4" w:space="0"/>
              <w:right w:val="single" w:color="000000" w:sz="4" w:space="0"/>
            </w:tcBorders>
            <w:vAlign w:val="center"/>
          </w:tcPr>
          <w:p w14:paraId="4DCC0191">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1308" w:type="pct"/>
            <w:tcBorders>
              <w:top w:val="nil"/>
              <w:left w:val="single" w:color="000000" w:sz="4" w:space="0"/>
              <w:bottom w:val="single" w:color="000000" w:sz="4" w:space="0"/>
              <w:right w:val="single" w:color="000000" w:sz="4" w:space="0"/>
            </w:tcBorders>
            <w:vAlign w:val="center"/>
          </w:tcPr>
          <w:p w14:paraId="4FCFFECD">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机动或电动喷雾机</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常量喷雾器</w:t>
            </w:r>
            <w:r>
              <w:rPr>
                <w:rFonts w:hint="eastAsia" w:ascii="宋体" w:hAnsi="宋体" w:eastAsia="宋体" w:cs="宋体"/>
                <w:color w:val="auto"/>
                <w:sz w:val="21"/>
                <w:szCs w:val="21"/>
                <w:highlight w:val="none"/>
              </w:rPr>
              <w:t>）</w:t>
            </w:r>
          </w:p>
        </w:tc>
        <w:tc>
          <w:tcPr>
            <w:tcW w:w="2057" w:type="pct"/>
            <w:tcBorders>
              <w:top w:val="nil"/>
              <w:left w:val="single" w:color="000000" w:sz="4" w:space="0"/>
              <w:bottom w:val="single" w:color="000000" w:sz="4" w:space="0"/>
              <w:right w:val="single" w:color="000000" w:sz="4" w:space="0"/>
            </w:tcBorders>
            <w:vAlign w:val="center"/>
          </w:tcPr>
          <w:p w14:paraId="5988D1FB">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可正常使用</w:t>
            </w:r>
          </w:p>
        </w:tc>
        <w:tc>
          <w:tcPr>
            <w:tcW w:w="1145" w:type="pct"/>
            <w:tcBorders>
              <w:top w:val="nil"/>
              <w:left w:val="single" w:color="000000" w:sz="4" w:space="0"/>
              <w:bottom w:val="single" w:color="000000" w:sz="4" w:space="0"/>
              <w:right w:val="single" w:color="000000" w:sz="4" w:space="0"/>
            </w:tcBorders>
            <w:vAlign w:val="center"/>
          </w:tcPr>
          <w:p w14:paraId="79E78418">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不少于10台</w:t>
            </w:r>
          </w:p>
        </w:tc>
      </w:tr>
      <w:tr w14:paraId="58F1EC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87" w:type="pct"/>
            <w:tcBorders>
              <w:top w:val="nil"/>
              <w:left w:val="single" w:color="000000" w:sz="4" w:space="0"/>
              <w:bottom w:val="single" w:color="000000" w:sz="4" w:space="0"/>
              <w:right w:val="single" w:color="000000" w:sz="4" w:space="0"/>
            </w:tcBorders>
            <w:vAlign w:val="center"/>
          </w:tcPr>
          <w:p w14:paraId="25F7ECF9">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1308" w:type="pct"/>
            <w:tcBorders>
              <w:top w:val="nil"/>
              <w:left w:val="single" w:color="000000" w:sz="4" w:space="0"/>
              <w:bottom w:val="single" w:color="000000" w:sz="4" w:space="0"/>
              <w:right w:val="single" w:color="000000" w:sz="4" w:space="0"/>
            </w:tcBorders>
            <w:vAlign w:val="center"/>
          </w:tcPr>
          <w:p w14:paraId="1F03E3CA">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热烟雾机</w:t>
            </w:r>
          </w:p>
        </w:tc>
        <w:tc>
          <w:tcPr>
            <w:tcW w:w="2057" w:type="pct"/>
            <w:tcBorders>
              <w:top w:val="nil"/>
              <w:left w:val="single" w:color="000000" w:sz="4" w:space="0"/>
              <w:bottom w:val="single" w:color="000000" w:sz="4" w:space="0"/>
              <w:right w:val="single" w:color="000000" w:sz="4" w:space="0"/>
            </w:tcBorders>
            <w:vAlign w:val="center"/>
          </w:tcPr>
          <w:p w14:paraId="72CFE449">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可正常使用</w:t>
            </w:r>
          </w:p>
        </w:tc>
        <w:tc>
          <w:tcPr>
            <w:tcW w:w="1145" w:type="pct"/>
            <w:tcBorders>
              <w:top w:val="nil"/>
              <w:left w:val="single" w:color="000000" w:sz="4" w:space="0"/>
              <w:bottom w:val="single" w:color="000000" w:sz="4" w:space="0"/>
              <w:right w:val="single" w:color="000000" w:sz="4" w:space="0"/>
            </w:tcBorders>
            <w:vAlign w:val="center"/>
          </w:tcPr>
          <w:p w14:paraId="3458B0D8">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不少于8台</w:t>
            </w:r>
          </w:p>
        </w:tc>
      </w:tr>
      <w:tr w14:paraId="6C108B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87" w:type="pct"/>
            <w:tcBorders>
              <w:top w:val="nil"/>
              <w:left w:val="single" w:color="000000" w:sz="4" w:space="0"/>
              <w:bottom w:val="single" w:color="000000" w:sz="4" w:space="0"/>
              <w:right w:val="single" w:color="000000" w:sz="4" w:space="0"/>
            </w:tcBorders>
            <w:vAlign w:val="center"/>
          </w:tcPr>
          <w:p w14:paraId="746CBFC2">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1308" w:type="pct"/>
            <w:tcBorders>
              <w:top w:val="nil"/>
              <w:left w:val="single" w:color="000000" w:sz="4" w:space="0"/>
              <w:bottom w:val="single" w:color="000000" w:sz="4" w:space="0"/>
              <w:right w:val="single" w:color="000000" w:sz="4" w:space="0"/>
            </w:tcBorders>
            <w:vAlign w:val="center"/>
          </w:tcPr>
          <w:p w14:paraId="1403125E">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机动车辆</w:t>
            </w:r>
          </w:p>
        </w:tc>
        <w:tc>
          <w:tcPr>
            <w:tcW w:w="2057" w:type="pct"/>
            <w:tcBorders>
              <w:top w:val="nil"/>
              <w:left w:val="single" w:color="000000" w:sz="4" w:space="0"/>
              <w:bottom w:val="single" w:color="000000" w:sz="4" w:space="0"/>
              <w:right w:val="single" w:color="000000" w:sz="4" w:space="0"/>
            </w:tcBorders>
            <w:vAlign w:val="center"/>
          </w:tcPr>
          <w:p w14:paraId="29872D79">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可正常使用</w:t>
            </w:r>
            <w:r>
              <w:rPr>
                <w:rFonts w:hint="eastAsia" w:ascii="宋体" w:hAnsi="宋体" w:eastAsia="宋体" w:cs="宋体"/>
                <w:color w:val="auto"/>
                <w:sz w:val="21"/>
                <w:szCs w:val="21"/>
                <w:highlight w:val="none"/>
                <w:lang w:val="en-US"/>
              </w:rPr>
              <w:t>，且车辆须在有效检验期内</w:t>
            </w:r>
          </w:p>
        </w:tc>
        <w:tc>
          <w:tcPr>
            <w:tcW w:w="1145" w:type="pct"/>
            <w:tcBorders>
              <w:top w:val="nil"/>
              <w:left w:val="single" w:color="000000" w:sz="4" w:space="0"/>
              <w:bottom w:val="single" w:color="000000" w:sz="4" w:space="0"/>
              <w:right w:val="single" w:color="000000" w:sz="4" w:space="0"/>
            </w:tcBorders>
            <w:vAlign w:val="center"/>
          </w:tcPr>
          <w:p w14:paraId="133310B7">
            <w:pPr>
              <w:keepNext w:val="0"/>
              <w:keepLines w:val="0"/>
              <w:pageBreakBefore w:val="0"/>
              <w:widowControl w:val="0"/>
              <w:kinsoku/>
              <w:wordWrap w:val="0"/>
              <w:overflowPunct/>
              <w:topLinePunct w:val="0"/>
              <w:autoSpaceDE/>
              <w:autoSpaceDN/>
              <w:bidi w:val="0"/>
              <w:adjustRightInd/>
              <w:snapToGrid/>
              <w:spacing w:after="0" w:afterLines="0"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不少于</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辆</w:t>
            </w:r>
          </w:p>
        </w:tc>
      </w:tr>
    </w:tbl>
    <w:p w14:paraId="02A69C18">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供应商需承诺自</w:t>
      </w:r>
      <w:r>
        <w:rPr>
          <w:rFonts w:hint="eastAsia" w:ascii="宋体" w:hAnsi="宋体" w:eastAsia="宋体" w:cs="宋体"/>
          <w:color w:val="auto"/>
          <w:sz w:val="21"/>
          <w:szCs w:val="21"/>
          <w:highlight w:val="none"/>
          <w:lang w:eastAsia="zh-CN"/>
        </w:rPr>
        <w:t>中标之日起</w:t>
      </w:r>
      <w:r>
        <w:rPr>
          <w:rFonts w:hint="eastAsia" w:ascii="宋体" w:hAnsi="宋体" w:eastAsia="宋体" w:cs="宋体"/>
          <w:color w:val="auto"/>
          <w:sz w:val="21"/>
          <w:szCs w:val="21"/>
          <w:highlight w:val="none"/>
          <w:lang w:val="en-US" w:eastAsia="zh-CN"/>
        </w:rPr>
        <w:t>2个月内在</w:t>
      </w:r>
      <w:r>
        <w:rPr>
          <w:rFonts w:hint="eastAsia" w:ascii="宋体" w:hAnsi="宋体" w:eastAsia="宋体" w:cs="宋体"/>
          <w:color w:val="auto"/>
          <w:sz w:val="21"/>
          <w:szCs w:val="21"/>
          <w:highlight w:val="none"/>
        </w:rPr>
        <w:t>小榄镇范围内设置办公场所和仓库（办公场所和仓库合计面积不少于100平方米），如遇突发情况，工作人员须在接到采购人电话通知，30分钟内到达现场。</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提供承诺函，格式自拟）</w:t>
      </w:r>
    </w:p>
    <w:p w14:paraId="51123F25">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科学用药，供应商必须采用中山市除害消毒管理站或疾控部门建议使用的防治药物，不得使用国家禁用或伪劣的灭鼠、杀虫剂，若因管理操作引起的一切责任由供应商负责。每次全部作业完毕进行集中清点，药瓶等废弃物进行集中无害化处理。</w:t>
      </w:r>
    </w:p>
    <w:p w14:paraId="3D2B08F1">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)防治药品及相关器械的使用按国家有关部门指定的最新标准执行，农药产品质量标准书、农药登记证、农药生产许可证（或农药生产批准证书）并报备给采购人。</w:t>
      </w:r>
    </w:p>
    <w:p w14:paraId="11742006">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供应商聘请员工必须按照《中华人民共和国劳动法》等法律法规进行，并对所聘用员工进行严格管理，对他们的行为负全责，如在服务期内发生劳资纠纷、意外（生病、伤亡事故）或违反合同规定、触犯国家法律、与第三方发生纠纷、诉讼的，由供应商承担全部责任及因此产生的一切费用。</w:t>
      </w:r>
    </w:p>
    <w:p w14:paraId="49B4EF2D">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供应商须为作业人员配备相应的防护用品，作业人员必须穿着按采购人统一审定的图案、色泽及格式制作的工作服（含雨衣），保持衣冠整洁，阴天或夜间作业必须穿着反光衣，用品和服装购买费用由供应商承担。</w:t>
      </w:r>
    </w:p>
    <w:p w14:paraId="6291DDB3">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)供应商应做好服务人员档案管理资料，做好工作记录，建立施药服务卡，做好资料收集，整理归档。如采购人有需要必须随时提供。</w:t>
      </w:r>
    </w:p>
    <w:p w14:paraId="0543AEFA">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)按采购人要求做好各种规范的公共环境消杀监测记录，制定科学的年度、季度公共环境消杀工作计划，包括技术方案、工作方法、用药计划等。每季度10号前将上季度的实施质量和工作情况向采购人作书面报告。</w:t>
      </w:r>
    </w:p>
    <w:p w14:paraId="6EF468D2">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)在服务期内，采购人没有增加服务内容，而供应商自行增加工作人员的，所增加的费用由供应商自行负责。</w:t>
      </w:r>
    </w:p>
    <w:p w14:paraId="399F8A4C">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)因工作需要或政策性等原因需变更承包区域的，采购人有权变更承包区域面积，承包区域面积变更幅度在</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‰（含</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‰）以内的，不调整合同价，超过</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‰的，按变更时政府相关规定处理，供应商必须服从。</w:t>
      </w:r>
    </w:p>
    <w:p w14:paraId="3A999108">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)本项目所涵盖的社区（地名）若出现名称变更或社区撤并等情况，在不变更供应商承包面积的情况下，不调整本项目合同价。</w:t>
      </w:r>
    </w:p>
    <w:p w14:paraId="7563BFC1">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)供应商在作业施工时，分若干组进行，采购人每组将安排1-2名工作人员进行全过程现场施工监督，作业人员必须服从采购人的工作人员监督。</w:t>
      </w:r>
    </w:p>
    <w:p w14:paraId="6A971956">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)采购人有权在不超出约定的年度消杀总次数的前提下，调整每次消杀的间隔时间。</w:t>
      </w:r>
    </w:p>
    <w:p w14:paraId="49053DD0">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.作业质量标准</w:t>
      </w:r>
    </w:p>
    <w:p w14:paraId="4ABCE4DB">
      <w:pPr>
        <w:keepNext w:val="0"/>
        <w:keepLines w:val="0"/>
        <w:pageBreakBefore w:val="0"/>
        <w:widowControl w:val="0"/>
        <w:kinsoku/>
        <w:wordWrap w:val="0"/>
        <w:overflowPunct/>
        <w:topLinePunct w:val="0"/>
        <w:autoSpaceDE/>
        <w:autoSpaceDN/>
        <w:bidi w:val="0"/>
        <w:adjustRightInd/>
        <w:snapToGrid/>
        <w:spacing w:after="0" w:afterLines="0" w:line="360" w:lineRule="auto"/>
        <w:jc w:val="both"/>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参照全国爱卫会国家卫生镇标准，四害密度必须达到国家标准</w:t>
      </w:r>
      <w:r>
        <w:rPr>
          <w:rFonts w:hint="eastAsia" w:ascii="宋体" w:hAnsi="宋体" w:eastAsia="宋体" w:cs="宋体"/>
          <w:b w:val="0"/>
          <w:bCs w:val="0"/>
          <w:color w:val="auto"/>
          <w:sz w:val="21"/>
          <w:szCs w:val="21"/>
          <w:highlight w:val="none"/>
          <w:lang w:val="en-US" w:eastAsia="zh-CN"/>
        </w:rPr>
        <w:t>C级或以上。</w:t>
      </w:r>
    </w:p>
    <w:p w14:paraId="5523AAF5">
      <w:pPr>
        <w:pStyle w:val="5"/>
        <w:jc w:val="both"/>
        <w:rPr>
          <w:b/>
          <w:bCs/>
          <w:color w:val="auto"/>
          <w:highlight w:val="none"/>
        </w:rPr>
      </w:pPr>
      <w:r>
        <w:rPr>
          <w:rFonts w:hint="eastAsia" w:ascii="宋体" w:hAnsi="宋体" w:eastAsia="宋体" w:cs="宋体"/>
          <w:b/>
          <w:bCs/>
          <w:color w:val="auto"/>
          <w:sz w:val="21"/>
          <w:highlight w:val="none"/>
          <w:lang w:val="en-US" w:eastAsia="zh-CN"/>
        </w:rPr>
        <w:t>5</w:t>
      </w:r>
      <w:r>
        <w:rPr>
          <w:rFonts w:hint="eastAsia" w:ascii="宋体" w:hAnsi="宋体" w:eastAsia="宋体" w:cs="宋体"/>
          <w:b/>
          <w:bCs/>
          <w:color w:val="auto"/>
          <w:sz w:val="21"/>
          <w:highlight w:val="none"/>
        </w:rPr>
        <w:t>.</w:t>
      </w:r>
      <w:r>
        <w:rPr>
          <w:b/>
          <w:bCs/>
          <w:color w:val="auto"/>
          <w:sz w:val="21"/>
          <w:highlight w:val="none"/>
        </w:rPr>
        <w:t>检查考核办法</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046"/>
        <w:gridCol w:w="809"/>
        <w:gridCol w:w="6107"/>
        <w:gridCol w:w="1018"/>
        <w:gridCol w:w="906"/>
      </w:tblGrid>
      <w:tr w14:paraId="0454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l2br w:val="nil"/>
              <w:tr2bl w:val="nil"/>
            </w:tcBorders>
            <w:tcMar>
              <w:top w:w="0" w:type="dxa"/>
              <w:left w:w="105" w:type="dxa"/>
              <w:bottom w:w="0" w:type="dxa"/>
              <w:right w:w="105" w:type="dxa"/>
            </w:tcMar>
            <w:vAlign w:val="top"/>
          </w:tcPr>
          <w:p w14:paraId="30EA90E7">
            <w:pPr>
              <w:pStyle w:val="5"/>
              <w:jc w:val="center"/>
              <w:rPr>
                <w:color w:val="auto"/>
                <w:highlight w:val="none"/>
              </w:rPr>
            </w:pPr>
            <w:r>
              <w:rPr>
                <w:b/>
                <w:color w:val="auto"/>
                <w:sz w:val="21"/>
                <w:highlight w:val="none"/>
              </w:rPr>
              <w:t>季度考核细则</w:t>
            </w:r>
          </w:p>
        </w:tc>
      </w:tr>
      <w:tr w14:paraId="271C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pct"/>
            <w:gridSpan w:val="2"/>
            <w:tcBorders>
              <w:tl2br w:val="nil"/>
              <w:tr2bl w:val="nil"/>
            </w:tcBorders>
            <w:tcMar>
              <w:top w:w="0" w:type="dxa"/>
              <w:left w:w="105" w:type="dxa"/>
              <w:bottom w:w="0" w:type="dxa"/>
              <w:right w:w="105" w:type="dxa"/>
            </w:tcMar>
            <w:vAlign w:val="top"/>
          </w:tcPr>
          <w:p w14:paraId="70883211">
            <w:pPr>
              <w:pStyle w:val="5"/>
              <w:jc w:val="center"/>
              <w:rPr>
                <w:b/>
                <w:bCs/>
                <w:color w:val="auto"/>
                <w:highlight w:val="none"/>
              </w:rPr>
            </w:pPr>
            <w:r>
              <w:rPr>
                <w:b/>
                <w:bCs/>
                <w:color w:val="auto"/>
                <w:sz w:val="21"/>
                <w:highlight w:val="none"/>
              </w:rPr>
              <w:t>项目</w:t>
            </w:r>
          </w:p>
        </w:tc>
        <w:tc>
          <w:tcPr>
            <w:tcW w:w="379" w:type="pct"/>
            <w:tcBorders>
              <w:tl2br w:val="nil"/>
              <w:tr2bl w:val="nil"/>
            </w:tcBorders>
            <w:tcMar>
              <w:top w:w="0" w:type="dxa"/>
              <w:left w:w="105" w:type="dxa"/>
              <w:bottom w:w="0" w:type="dxa"/>
              <w:right w:w="105" w:type="dxa"/>
            </w:tcMar>
            <w:vAlign w:val="top"/>
          </w:tcPr>
          <w:p w14:paraId="159B4707">
            <w:pPr>
              <w:pStyle w:val="5"/>
              <w:jc w:val="center"/>
              <w:rPr>
                <w:b/>
                <w:bCs/>
                <w:color w:val="auto"/>
                <w:highlight w:val="none"/>
              </w:rPr>
            </w:pPr>
            <w:r>
              <w:rPr>
                <w:b/>
                <w:bCs/>
                <w:color w:val="auto"/>
                <w:sz w:val="21"/>
                <w:highlight w:val="none"/>
              </w:rPr>
              <w:t>分值</w:t>
            </w:r>
          </w:p>
        </w:tc>
        <w:tc>
          <w:tcPr>
            <w:tcW w:w="2860" w:type="pct"/>
            <w:tcBorders>
              <w:tl2br w:val="nil"/>
              <w:tr2bl w:val="nil"/>
            </w:tcBorders>
            <w:tcMar>
              <w:top w:w="0" w:type="dxa"/>
              <w:left w:w="105" w:type="dxa"/>
              <w:bottom w:w="0" w:type="dxa"/>
              <w:right w:w="105" w:type="dxa"/>
            </w:tcMar>
            <w:vAlign w:val="top"/>
          </w:tcPr>
          <w:p w14:paraId="1AAEB555">
            <w:pPr>
              <w:pStyle w:val="5"/>
              <w:jc w:val="center"/>
              <w:rPr>
                <w:b/>
                <w:bCs/>
                <w:color w:val="auto"/>
                <w:highlight w:val="none"/>
              </w:rPr>
            </w:pPr>
            <w:r>
              <w:rPr>
                <w:b/>
                <w:bCs/>
                <w:color w:val="auto"/>
                <w:sz w:val="21"/>
                <w:highlight w:val="none"/>
              </w:rPr>
              <w:t>考核项目</w:t>
            </w:r>
          </w:p>
        </w:tc>
        <w:tc>
          <w:tcPr>
            <w:tcW w:w="477" w:type="pct"/>
            <w:tcBorders>
              <w:tl2br w:val="nil"/>
              <w:tr2bl w:val="nil"/>
            </w:tcBorders>
            <w:tcMar>
              <w:top w:w="0" w:type="dxa"/>
              <w:left w:w="105" w:type="dxa"/>
              <w:bottom w:w="0" w:type="dxa"/>
              <w:right w:w="105" w:type="dxa"/>
            </w:tcMar>
            <w:vAlign w:val="top"/>
          </w:tcPr>
          <w:p w14:paraId="018C0DE4">
            <w:pPr>
              <w:pStyle w:val="5"/>
              <w:jc w:val="center"/>
              <w:rPr>
                <w:b/>
                <w:bCs/>
                <w:color w:val="auto"/>
                <w:highlight w:val="none"/>
              </w:rPr>
            </w:pPr>
            <w:r>
              <w:rPr>
                <w:b/>
                <w:bCs/>
                <w:color w:val="auto"/>
                <w:sz w:val="21"/>
                <w:highlight w:val="none"/>
              </w:rPr>
              <w:t>扣分</w:t>
            </w:r>
          </w:p>
        </w:tc>
        <w:tc>
          <w:tcPr>
            <w:tcW w:w="421" w:type="pct"/>
            <w:tcBorders>
              <w:tl2br w:val="nil"/>
              <w:tr2bl w:val="nil"/>
            </w:tcBorders>
            <w:tcMar>
              <w:top w:w="0" w:type="dxa"/>
              <w:left w:w="105" w:type="dxa"/>
              <w:bottom w:w="0" w:type="dxa"/>
              <w:right w:w="105" w:type="dxa"/>
            </w:tcMar>
            <w:vAlign w:val="top"/>
          </w:tcPr>
          <w:p w14:paraId="54B1482A">
            <w:pPr>
              <w:pStyle w:val="5"/>
              <w:jc w:val="center"/>
              <w:rPr>
                <w:b/>
                <w:bCs/>
                <w:color w:val="auto"/>
                <w:highlight w:val="none"/>
              </w:rPr>
            </w:pPr>
            <w:r>
              <w:rPr>
                <w:b/>
                <w:bCs/>
                <w:color w:val="auto"/>
                <w:sz w:val="21"/>
                <w:highlight w:val="none"/>
              </w:rPr>
              <w:t>检查方式</w:t>
            </w:r>
          </w:p>
        </w:tc>
      </w:tr>
      <w:tr w14:paraId="5213E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restart"/>
            <w:tcBorders>
              <w:tl2br w:val="nil"/>
              <w:tr2bl w:val="nil"/>
            </w:tcBorders>
            <w:tcMar>
              <w:top w:w="0" w:type="dxa"/>
              <w:left w:w="105" w:type="dxa"/>
              <w:bottom w:w="0" w:type="dxa"/>
              <w:right w:w="105" w:type="dxa"/>
            </w:tcMar>
            <w:vAlign w:val="center"/>
          </w:tcPr>
          <w:p w14:paraId="13583337">
            <w:pPr>
              <w:pStyle w:val="5"/>
              <w:jc w:val="center"/>
              <w:rPr>
                <w:color w:val="auto"/>
                <w:highlight w:val="none"/>
              </w:rPr>
            </w:pPr>
            <w:r>
              <w:rPr>
                <w:color w:val="auto"/>
                <w:sz w:val="21"/>
                <w:highlight w:val="none"/>
              </w:rPr>
              <w:t>一、基本要求</w:t>
            </w:r>
          </w:p>
        </w:tc>
        <w:tc>
          <w:tcPr>
            <w:tcW w:w="490" w:type="pct"/>
            <w:vMerge w:val="restart"/>
            <w:tcBorders>
              <w:tl2br w:val="nil"/>
              <w:tr2bl w:val="nil"/>
            </w:tcBorders>
            <w:tcMar>
              <w:top w:w="0" w:type="dxa"/>
              <w:left w:w="105" w:type="dxa"/>
              <w:bottom w:w="0" w:type="dxa"/>
              <w:right w:w="105" w:type="dxa"/>
            </w:tcMar>
            <w:vAlign w:val="center"/>
          </w:tcPr>
          <w:p w14:paraId="455A6DD0">
            <w:pPr>
              <w:pStyle w:val="5"/>
              <w:jc w:val="center"/>
              <w:rPr>
                <w:color w:val="auto"/>
                <w:highlight w:val="none"/>
              </w:rPr>
            </w:pPr>
            <w:r>
              <w:rPr>
                <w:color w:val="auto"/>
                <w:sz w:val="21"/>
                <w:highlight w:val="none"/>
              </w:rPr>
              <w:t>40分</w:t>
            </w:r>
          </w:p>
        </w:tc>
        <w:tc>
          <w:tcPr>
            <w:tcW w:w="379" w:type="pct"/>
            <w:tcBorders>
              <w:tl2br w:val="nil"/>
              <w:tr2bl w:val="nil"/>
            </w:tcBorders>
            <w:tcMar>
              <w:top w:w="0" w:type="dxa"/>
              <w:left w:w="105" w:type="dxa"/>
              <w:bottom w:w="0" w:type="dxa"/>
              <w:right w:w="105" w:type="dxa"/>
            </w:tcMar>
            <w:vAlign w:val="center"/>
          </w:tcPr>
          <w:p w14:paraId="179C6A60">
            <w:pPr>
              <w:pStyle w:val="5"/>
              <w:jc w:val="center"/>
              <w:rPr>
                <w:color w:val="auto"/>
                <w:highlight w:val="none"/>
              </w:rPr>
            </w:pPr>
            <w:r>
              <w:rPr>
                <w:color w:val="auto"/>
                <w:sz w:val="21"/>
                <w:highlight w:val="none"/>
              </w:rPr>
              <w:t>8</w:t>
            </w:r>
          </w:p>
        </w:tc>
        <w:tc>
          <w:tcPr>
            <w:tcW w:w="2860" w:type="pct"/>
            <w:tcBorders>
              <w:tl2br w:val="nil"/>
              <w:tr2bl w:val="nil"/>
            </w:tcBorders>
            <w:tcMar>
              <w:top w:w="0" w:type="dxa"/>
              <w:left w:w="105" w:type="dxa"/>
              <w:bottom w:w="0" w:type="dxa"/>
              <w:right w:w="105" w:type="dxa"/>
            </w:tcMar>
            <w:vAlign w:val="center"/>
          </w:tcPr>
          <w:p w14:paraId="6007DE5B">
            <w:pPr>
              <w:pStyle w:val="5"/>
              <w:jc w:val="left"/>
              <w:rPr>
                <w:color w:val="auto"/>
                <w:highlight w:val="none"/>
              </w:rPr>
            </w:pPr>
            <w:r>
              <w:rPr>
                <w:color w:val="auto"/>
                <w:sz w:val="21"/>
                <w:highlight w:val="none"/>
              </w:rPr>
              <w:t>1.按要求进行人员配置，未达要求的，每缺1人</w:t>
            </w:r>
          </w:p>
        </w:tc>
        <w:tc>
          <w:tcPr>
            <w:tcW w:w="477" w:type="pct"/>
            <w:tcBorders>
              <w:tl2br w:val="nil"/>
              <w:tr2bl w:val="nil"/>
            </w:tcBorders>
            <w:tcMar>
              <w:top w:w="0" w:type="dxa"/>
              <w:left w:w="105" w:type="dxa"/>
              <w:bottom w:w="0" w:type="dxa"/>
              <w:right w:w="105" w:type="dxa"/>
            </w:tcMar>
            <w:vAlign w:val="center"/>
          </w:tcPr>
          <w:p w14:paraId="42CD7A67">
            <w:pPr>
              <w:pStyle w:val="5"/>
              <w:jc w:val="center"/>
              <w:rPr>
                <w:color w:val="auto"/>
                <w:highlight w:val="none"/>
              </w:rPr>
            </w:pPr>
            <w:r>
              <w:rPr>
                <w:color w:val="auto"/>
                <w:sz w:val="21"/>
                <w:highlight w:val="none"/>
              </w:rPr>
              <w:t>2</w:t>
            </w:r>
          </w:p>
        </w:tc>
        <w:tc>
          <w:tcPr>
            <w:tcW w:w="421" w:type="pct"/>
            <w:tcBorders>
              <w:tl2br w:val="nil"/>
              <w:tr2bl w:val="nil"/>
            </w:tcBorders>
            <w:tcMar>
              <w:top w:w="0" w:type="dxa"/>
              <w:left w:w="105" w:type="dxa"/>
              <w:bottom w:w="0" w:type="dxa"/>
              <w:right w:w="105" w:type="dxa"/>
            </w:tcMar>
            <w:vAlign w:val="center"/>
          </w:tcPr>
          <w:p w14:paraId="6B797ED2">
            <w:pPr>
              <w:pStyle w:val="5"/>
              <w:jc w:val="center"/>
              <w:rPr>
                <w:color w:val="auto"/>
                <w:highlight w:val="none"/>
              </w:rPr>
            </w:pPr>
            <w:r>
              <w:rPr>
                <w:color w:val="auto"/>
                <w:sz w:val="21"/>
                <w:highlight w:val="none"/>
              </w:rPr>
              <w:t>1</w:t>
            </w:r>
          </w:p>
        </w:tc>
      </w:tr>
      <w:tr w14:paraId="7B95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03571059">
            <w:pPr>
              <w:jc w:val="center"/>
              <w:rPr>
                <w:color w:val="auto"/>
                <w:highlight w:val="none"/>
              </w:rPr>
            </w:pPr>
          </w:p>
        </w:tc>
        <w:tc>
          <w:tcPr>
            <w:tcW w:w="490" w:type="pct"/>
            <w:vMerge w:val="continue"/>
            <w:tcBorders>
              <w:tl2br w:val="nil"/>
              <w:tr2bl w:val="nil"/>
            </w:tcBorders>
            <w:vAlign w:val="center"/>
          </w:tcPr>
          <w:p w14:paraId="0DDC4367">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2B4B8BB1">
            <w:pPr>
              <w:pStyle w:val="5"/>
              <w:jc w:val="center"/>
              <w:rPr>
                <w:color w:val="auto"/>
                <w:highlight w:val="none"/>
              </w:rPr>
            </w:pPr>
            <w:r>
              <w:rPr>
                <w:color w:val="auto"/>
                <w:sz w:val="21"/>
                <w:highlight w:val="none"/>
              </w:rPr>
              <w:t>2</w:t>
            </w:r>
          </w:p>
        </w:tc>
        <w:tc>
          <w:tcPr>
            <w:tcW w:w="2860" w:type="pct"/>
            <w:tcBorders>
              <w:tl2br w:val="nil"/>
              <w:tr2bl w:val="nil"/>
            </w:tcBorders>
            <w:tcMar>
              <w:top w:w="0" w:type="dxa"/>
              <w:left w:w="105" w:type="dxa"/>
              <w:bottom w:w="0" w:type="dxa"/>
              <w:right w:w="105" w:type="dxa"/>
            </w:tcMar>
            <w:vAlign w:val="center"/>
          </w:tcPr>
          <w:p w14:paraId="1BAF5B39">
            <w:pPr>
              <w:pStyle w:val="5"/>
              <w:jc w:val="left"/>
              <w:rPr>
                <w:color w:val="auto"/>
                <w:highlight w:val="none"/>
              </w:rPr>
            </w:pPr>
            <w:r>
              <w:rPr>
                <w:color w:val="auto"/>
                <w:sz w:val="21"/>
                <w:highlight w:val="none"/>
              </w:rPr>
              <w:t>2.按要求配置设备，未达要求的，每缺一台设备</w:t>
            </w:r>
          </w:p>
        </w:tc>
        <w:tc>
          <w:tcPr>
            <w:tcW w:w="477" w:type="pct"/>
            <w:tcBorders>
              <w:tl2br w:val="nil"/>
              <w:tr2bl w:val="nil"/>
            </w:tcBorders>
            <w:tcMar>
              <w:top w:w="0" w:type="dxa"/>
              <w:left w:w="105" w:type="dxa"/>
              <w:bottom w:w="0" w:type="dxa"/>
              <w:right w:w="105" w:type="dxa"/>
            </w:tcMar>
            <w:vAlign w:val="center"/>
          </w:tcPr>
          <w:p w14:paraId="26CED7F1">
            <w:pPr>
              <w:pStyle w:val="5"/>
              <w:jc w:val="center"/>
              <w:rPr>
                <w:color w:val="auto"/>
                <w:highlight w:val="none"/>
              </w:rPr>
            </w:pPr>
            <w:r>
              <w:rPr>
                <w:color w:val="auto"/>
                <w:sz w:val="21"/>
                <w:highlight w:val="none"/>
              </w:rPr>
              <w:t>0.5</w:t>
            </w:r>
          </w:p>
        </w:tc>
        <w:tc>
          <w:tcPr>
            <w:tcW w:w="421" w:type="pct"/>
            <w:tcBorders>
              <w:tl2br w:val="nil"/>
              <w:tr2bl w:val="nil"/>
            </w:tcBorders>
            <w:tcMar>
              <w:top w:w="0" w:type="dxa"/>
              <w:left w:w="105" w:type="dxa"/>
              <w:bottom w:w="0" w:type="dxa"/>
              <w:right w:w="105" w:type="dxa"/>
            </w:tcMar>
            <w:vAlign w:val="center"/>
          </w:tcPr>
          <w:p w14:paraId="492A45F9">
            <w:pPr>
              <w:pStyle w:val="5"/>
              <w:jc w:val="center"/>
              <w:rPr>
                <w:color w:val="auto"/>
                <w:highlight w:val="none"/>
              </w:rPr>
            </w:pPr>
            <w:r>
              <w:rPr>
                <w:color w:val="auto"/>
                <w:sz w:val="21"/>
                <w:highlight w:val="none"/>
              </w:rPr>
              <w:t>1</w:t>
            </w:r>
          </w:p>
        </w:tc>
      </w:tr>
      <w:tr w14:paraId="0EB3B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76134181">
            <w:pPr>
              <w:jc w:val="center"/>
              <w:rPr>
                <w:color w:val="auto"/>
                <w:highlight w:val="none"/>
              </w:rPr>
            </w:pPr>
          </w:p>
        </w:tc>
        <w:tc>
          <w:tcPr>
            <w:tcW w:w="490" w:type="pct"/>
            <w:vMerge w:val="continue"/>
            <w:tcBorders>
              <w:tl2br w:val="nil"/>
              <w:tr2bl w:val="nil"/>
            </w:tcBorders>
            <w:vAlign w:val="center"/>
          </w:tcPr>
          <w:p w14:paraId="191F80E1">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4AA33D4F">
            <w:pPr>
              <w:pStyle w:val="5"/>
              <w:jc w:val="center"/>
              <w:rPr>
                <w:color w:val="auto"/>
                <w:highlight w:val="none"/>
              </w:rPr>
            </w:pPr>
            <w:r>
              <w:rPr>
                <w:color w:val="auto"/>
                <w:sz w:val="21"/>
                <w:highlight w:val="none"/>
              </w:rPr>
              <w:t>8</w:t>
            </w:r>
          </w:p>
        </w:tc>
        <w:tc>
          <w:tcPr>
            <w:tcW w:w="2860" w:type="pct"/>
            <w:tcBorders>
              <w:tl2br w:val="nil"/>
              <w:tr2bl w:val="nil"/>
            </w:tcBorders>
            <w:tcMar>
              <w:top w:w="0" w:type="dxa"/>
              <w:left w:w="105" w:type="dxa"/>
              <w:bottom w:w="0" w:type="dxa"/>
              <w:right w:w="105" w:type="dxa"/>
            </w:tcMar>
            <w:vAlign w:val="center"/>
          </w:tcPr>
          <w:p w14:paraId="038BE362">
            <w:pPr>
              <w:pStyle w:val="5"/>
              <w:jc w:val="left"/>
              <w:rPr>
                <w:color w:val="auto"/>
                <w:highlight w:val="none"/>
              </w:rPr>
            </w:pPr>
            <w:r>
              <w:rPr>
                <w:color w:val="auto"/>
                <w:sz w:val="21"/>
                <w:highlight w:val="none"/>
              </w:rPr>
              <w:t>3.按要求定期进行各项消杀，未落实的，每项</w:t>
            </w:r>
          </w:p>
        </w:tc>
        <w:tc>
          <w:tcPr>
            <w:tcW w:w="477" w:type="pct"/>
            <w:tcBorders>
              <w:tl2br w:val="nil"/>
              <w:tr2bl w:val="nil"/>
            </w:tcBorders>
            <w:tcMar>
              <w:top w:w="0" w:type="dxa"/>
              <w:left w:w="105" w:type="dxa"/>
              <w:bottom w:w="0" w:type="dxa"/>
              <w:right w:w="105" w:type="dxa"/>
            </w:tcMar>
            <w:vAlign w:val="center"/>
          </w:tcPr>
          <w:p w14:paraId="51A98499">
            <w:pPr>
              <w:pStyle w:val="5"/>
              <w:jc w:val="center"/>
              <w:rPr>
                <w:color w:val="auto"/>
                <w:highlight w:val="none"/>
              </w:rPr>
            </w:pPr>
            <w:r>
              <w:rPr>
                <w:color w:val="auto"/>
                <w:sz w:val="21"/>
                <w:highlight w:val="none"/>
              </w:rPr>
              <w:t>2</w:t>
            </w:r>
          </w:p>
        </w:tc>
        <w:tc>
          <w:tcPr>
            <w:tcW w:w="421" w:type="pct"/>
            <w:tcBorders>
              <w:tl2br w:val="nil"/>
              <w:tr2bl w:val="nil"/>
            </w:tcBorders>
            <w:tcMar>
              <w:top w:w="0" w:type="dxa"/>
              <w:left w:w="105" w:type="dxa"/>
              <w:bottom w:w="0" w:type="dxa"/>
              <w:right w:w="105" w:type="dxa"/>
            </w:tcMar>
            <w:vAlign w:val="center"/>
          </w:tcPr>
          <w:p w14:paraId="1501DD0A">
            <w:pPr>
              <w:pStyle w:val="5"/>
              <w:jc w:val="center"/>
              <w:rPr>
                <w:color w:val="auto"/>
                <w:highlight w:val="none"/>
              </w:rPr>
            </w:pPr>
            <w:r>
              <w:rPr>
                <w:color w:val="auto"/>
                <w:sz w:val="21"/>
                <w:highlight w:val="none"/>
              </w:rPr>
              <w:t>2</w:t>
            </w:r>
          </w:p>
        </w:tc>
      </w:tr>
      <w:tr w14:paraId="0D45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75C4809A">
            <w:pPr>
              <w:jc w:val="center"/>
              <w:rPr>
                <w:color w:val="auto"/>
                <w:highlight w:val="none"/>
              </w:rPr>
            </w:pPr>
          </w:p>
        </w:tc>
        <w:tc>
          <w:tcPr>
            <w:tcW w:w="490" w:type="pct"/>
            <w:vMerge w:val="continue"/>
            <w:tcBorders>
              <w:tl2br w:val="nil"/>
              <w:tr2bl w:val="nil"/>
            </w:tcBorders>
            <w:vAlign w:val="center"/>
          </w:tcPr>
          <w:p w14:paraId="244178B7">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39B1B1C6">
            <w:pPr>
              <w:pStyle w:val="5"/>
              <w:jc w:val="center"/>
              <w:rPr>
                <w:color w:val="auto"/>
                <w:highlight w:val="none"/>
              </w:rPr>
            </w:pPr>
            <w:r>
              <w:rPr>
                <w:color w:val="auto"/>
                <w:sz w:val="21"/>
                <w:highlight w:val="none"/>
              </w:rPr>
              <w:t>3</w:t>
            </w:r>
          </w:p>
        </w:tc>
        <w:tc>
          <w:tcPr>
            <w:tcW w:w="2860" w:type="pct"/>
            <w:tcBorders>
              <w:tl2br w:val="nil"/>
              <w:tr2bl w:val="nil"/>
            </w:tcBorders>
            <w:tcMar>
              <w:top w:w="0" w:type="dxa"/>
              <w:left w:w="105" w:type="dxa"/>
              <w:bottom w:w="0" w:type="dxa"/>
              <w:right w:w="105" w:type="dxa"/>
            </w:tcMar>
            <w:vAlign w:val="center"/>
          </w:tcPr>
          <w:p w14:paraId="7F1524C0">
            <w:pPr>
              <w:pStyle w:val="5"/>
              <w:jc w:val="left"/>
              <w:rPr>
                <w:color w:val="auto"/>
                <w:highlight w:val="none"/>
              </w:rPr>
            </w:pPr>
            <w:r>
              <w:rPr>
                <w:color w:val="auto"/>
                <w:sz w:val="21"/>
                <w:highlight w:val="none"/>
              </w:rPr>
              <w:t>4.按要求落实密度监测，未落实的，每项</w:t>
            </w:r>
          </w:p>
        </w:tc>
        <w:tc>
          <w:tcPr>
            <w:tcW w:w="477" w:type="pct"/>
            <w:tcBorders>
              <w:tl2br w:val="nil"/>
              <w:tr2bl w:val="nil"/>
            </w:tcBorders>
            <w:tcMar>
              <w:top w:w="0" w:type="dxa"/>
              <w:left w:w="105" w:type="dxa"/>
              <w:bottom w:w="0" w:type="dxa"/>
              <w:right w:w="105" w:type="dxa"/>
            </w:tcMar>
            <w:vAlign w:val="center"/>
          </w:tcPr>
          <w:p w14:paraId="3217E4EA">
            <w:pPr>
              <w:pStyle w:val="5"/>
              <w:jc w:val="center"/>
              <w:rPr>
                <w:color w:val="auto"/>
                <w:highlight w:val="none"/>
              </w:rPr>
            </w:pPr>
            <w:r>
              <w:rPr>
                <w:color w:val="auto"/>
                <w:sz w:val="21"/>
                <w:highlight w:val="none"/>
              </w:rPr>
              <w:t>0.5</w:t>
            </w:r>
          </w:p>
        </w:tc>
        <w:tc>
          <w:tcPr>
            <w:tcW w:w="421" w:type="pct"/>
            <w:tcBorders>
              <w:tl2br w:val="nil"/>
              <w:tr2bl w:val="nil"/>
            </w:tcBorders>
            <w:tcMar>
              <w:top w:w="0" w:type="dxa"/>
              <w:left w:w="105" w:type="dxa"/>
              <w:bottom w:w="0" w:type="dxa"/>
              <w:right w:w="105" w:type="dxa"/>
            </w:tcMar>
            <w:vAlign w:val="center"/>
          </w:tcPr>
          <w:p w14:paraId="72102670">
            <w:pPr>
              <w:pStyle w:val="5"/>
              <w:jc w:val="center"/>
              <w:rPr>
                <w:color w:val="auto"/>
                <w:highlight w:val="none"/>
              </w:rPr>
            </w:pPr>
            <w:r>
              <w:rPr>
                <w:color w:val="auto"/>
                <w:sz w:val="21"/>
                <w:highlight w:val="none"/>
              </w:rPr>
              <w:t>2</w:t>
            </w:r>
          </w:p>
        </w:tc>
      </w:tr>
      <w:tr w14:paraId="47CD2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43C37019">
            <w:pPr>
              <w:jc w:val="center"/>
              <w:rPr>
                <w:color w:val="auto"/>
                <w:highlight w:val="none"/>
              </w:rPr>
            </w:pPr>
          </w:p>
        </w:tc>
        <w:tc>
          <w:tcPr>
            <w:tcW w:w="490" w:type="pct"/>
            <w:vMerge w:val="continue"/>
            <w:tcBorders>
              <w:tl2br w:val="nil"/>
              <w:tr2bl w:val="nil"/>
            </w:tcBorders>
            <w:vAlign w:val="center"/>
          </w:tcPr>
          <w:p w14:paraId="6C96503A">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24DF51E4">
            <w:pPr>
              <w:pStyle w:val="5"/>
              <w:jc w:val="center"/>
              <w:rPr>
                <w:color w:val="auto"/>
                <w:highlight w:val="none"/>
              </w:rPr>
            </w:pPr>
            <w:r>
              <w:rPr>
                <w:color w:val="auto"/>
                <w:sz w:val="21"/>
                <w:highlight w:val="none"/>
              </w:rPr>
              <w:t>3</w:t>
            </w:r>
          </w:p>
        </w:tc>
        <w:tc>
          <w:tcPr>
            <w:tcW w:w="2860" w:type="pct"/>
            <w:tcBorders>
              <w:tl2br w:val="nil"/>
              <w:tr2bl w:val="nil"/>
            </w:tcBorders>
            <w:tcMar>
              <w:top w:w="0" w:type="dxa"/>
              <w:left w:w="105" w:type="dxa"/>
              <w:bottom w:w="0" w:type="dxa"/>
              <w:right w:w="105" w:type="dxa"/>
            </w:tcMar>
            <w:vAlign w:val="center"/>
          </w:tcPr>
          <w:p w14:paraId="5D340314">
            <w:pPr>
              <w:pStyle w:val="5"/>
              <w:jc w:val="left"/>
              <w:rPr>
                <w:color w:val="auto"/>
                <w:highlight w:val="none"/>
              </w:rPr>
            </w:pPr>
            <w:r>
              <w:rPr>
                <w:color w:val="auto"/>
                <w:sz w:val="21"/>
                <w:highlight w:val="none"/>
              </w:rPr>
              <w:t>5.按要求落实孳生地调查，未落实的，每项</w:t>
            </w:r>
          </w:p>
        </w:tc>
        <w:tc>
          <w:tcPr>
            <w:tcW w:w="477" w:type="pct"/>
            <w:tcBorders>
              <w:tl2br w:val="nil"/>
              <w:tr2bl w:val="nil"/>
            </w:tcBorders>
            <w:tcMar>
              <w:top w:w="0" w:type="dxa"/>
              <w:left w:w="105" w:type="dxa"/>
              <w:bottom w:w="0" w:type="dxa"/>
              <w:right w:w="105" w:type="dxa"/>
            </w:tcMar>
            <w:vAlign w:val="center"/>
          </w:tcPr>
          <w:p w14:paraId="50796592">
            <w:pPr>
              <w:pStyle w:val="5"/>
              <w:jc w:val="center"/>
              <w:rPr>
                <w:color w:val="auto"/>
                <w:highlight w:val="none"/>
              </w:rPr>
            </w:pPr>
            <w:r>
              <w:rPr>
                <w:color w:val="auto"/>
                <w:sz w:val="21"/>
                <w:highlight w:val="none"/>
              </w:rPr>
              <w:t>0.5</w:t>
            </w:r>
          </w:p>
        </w:tc>
        <w:tc>
          <w:tcPr>
            <w:tcW w:w="421" w:type="pct"/>
            <w:tcBorders>
              <w:tl2br w:val="nil"/>
              <w:tr2bl w:val="nil"/>
            </w:tcBorders>
            <w:tcMar>
              <w:top w:w="0" w:type="dxa"/>
              <w:left w:w="105" w:type="dxa"/>
              <w:bottom w:w="0" w:type="dxa"/>
              <w:right w:w="105" w:type="dxa"/>
            </w:tcMar>
            <w:vAlign w:val="center"/>
          </w:tcPr>
          <w:p w14:paraId="64C9F433">
            <w:pPr>
              <w:pStyle w:val="5"/>
              <w:jc w:val="center"/>
              <w:rPr>
                <w:color w:val="auto"/>
                <w:highlight w:val="none"/>
              </w:rPr>
            </w:pPr>
            <w:r>
              <w:rPr>
                <w:color w:val="auto"/>
                <w:sz w:val="21"/>
                <w:highlight w:val="none"/>
              </w:rPr>
              <w:t>2</w:t>
            </w:r>
          </w:p>
        </w:tc>
      </w:tr>
      <w:tr w14:paraId="69C3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333C799C">
            <w:pPr>
              <w:jc w:val="center"/>
              <w:rPr>
                <w:color w:val="auto"/>
                <w:highlight w:val="none"/>
              </w:rPr>
            </w:pPr>
          </w:p>
        </w:tc>
        <w:tc>
          <w:tcPr>
            <w:tcW w:w="490" w:type="pct"/>
            <w:vMerge w:val="continue"/>
            <w:tcBorders>
              <w:tl2br w:val="nil"/>
              <w:tr2bl w:val="nil"/>
            </w:tcBorders>
            <w:vAlign w:val="center"/>
          </w:tcPr>
          <w:p w14:paraId="7FE1C690">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05715917">
            <w:pPr>
              <w:pStyle w:val="5"/>
              <w:jc w:val="center"/>
              <w:rPr>
                <w:color w:val="auto"/>
                <w:highlight w:val="none"/>
              </w:rPr>
            </w:pPr>
            <w:r>
              <w:rPr>
                <w:color w:val="auto"/>
                <w:sz w:val="21"/>
                <w:highlight w:val="none"/>
              </w:rPr>
              <w:t>4</w:t>
            </w:r>
          </w:p>
        </w:tc>
        <w:tc>
          <w:tcPr>
            <w:tcW w:w="2860" w:type="pct"/>
            <w:tcBorders>
              <w:tl2br w:val="nil"/>
              <w:tr2bl w:val="nil"/>
            </w:tcBorders>
            <w:tcMar>
              <w:top w:w="0" w:type="dxa"/>
              <w:left w:w="105" w:type="dxa"/>
              <w:bottom w:w="0" w:type="dxa"/>
              <w:right w:w="105" w:type="dxa"/>
            </w:tcMar>
            <w:vAlign w:val="center"/>
          </w:tcPr>
          <w:p w14:paraId="6E0491A2">
            <w:pPr>
              <w:pStyle w:val="5"/>
              <w:jc w:val="left"/>
              <w:rPr>
                <w:color w:val="auto"/>
                <w:highlight w:val="none"/>
              </w:rPr>
            </w:pPr>
            <w:r>
              <w:rPr>
                <w:color w:val="auto"/>
                <w:sz w:val="21"/>
                <w:highlight w:val="none"/>
              </w:rPr>
              <w:t>6.按采购人要求报送工作计划、工作记录、质检记录、药品台帐等资料，每缺一项</w:t>
            </w:r>
          </w:p>
        </w:tc>
        <w:tc>
          <w:tcPr>
            <w:tcW w:w="477" w:type="pct"/>
            <w:tcBorders>
              <w:tl2br w:val="nil"/>
              <w:tr2bl w:val="nil"/>
            </w:tcBorders>
            <w:tcMar>
              <w:top w:w="0" w:type="dxa"/>
              <w:left w:w="105" w:type="dxa"/>
              <w:bottom w:w="0" w:type="dxa"/>
              <w:right w:w="105" w:type="dxa"/>
            </w:tcMar>
            <w:vAlign w:val="center"/>
          </w:tcPr>
          <w:p w14:paraId="79087D8D">
            <w:pPr>
              <w:pStyle w:val="5"/>
              <w:jc w:val="center"/>
              <w:rPr>
                <w:color w:val="auto"/>
                <w:highlight w:val="none"/>
              </w:rPr>
            </w:pPr>
            <w:r>
              <w:rPr>
                <w:color w:val="auto"/>
                <w:sz w:val="21"/>
                <w:highlight w:val="none"/>
              </w:rPr>
              <w:t>1</w:t>
            </w:r>
          </w:p>
        </w:tc>
        <w:tc>
          <w:tcPr>
            <w:tcW w:w="421" w:type="pct"/>
            <w:tcBorders>
              <w:tl2br w:val="nil"/>
              <w:tr2bl w:val="nil"/>
            </w:tcBorders>
            <w:tcMar>
              <w:top w:w="0" w:type="dxa"/>
              <w:left w:w="105" w:type="dxa"/>
              <w:bottom w:w="0" w:type="dxa"/>
              <w:right w:w="105" w:type="dxa"/>
            </w:tcMar>
            <w:vAlign w:val="center"/>
          </w:tcPr>
          <w:p w14:paraId="2F754672">
            <w:pPr>
              <w:pStyle w:val="5"/>
              <w:jc w:val="center"/>
              <w:rPr>
                <w:color w:val="auto"/>
                <w:highlight w:val="none"/>
              </w:rPr>
            </w:pPr>
            <w:r>
              <w:rPr>
                <w:color w:val="auto"/>
                <w:sz w:val="21"/>
                <w:highlight w:val="none"/>
              </w:rPr>
              <w:t>2</w:t>
            </w:r>
          </w:p>
        </w:tc>
      </w:tr>
      <w:tr w14:paraId="1392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5E6A0830">
            <w:pPr>
              <w:jc w:val="center"/>
              <w:rPr>
                <w:color w:val="auto"/>
                <w:highlight w:val="none"/>
              </w:rPr>
            </w:pPr>
          </w:p>
        </w:tc>
        <w:tc>
          <w:tcPr>
            <w:tcW w:w="490" w:type="pct"/>
            <w:vMerge w:val="continue"/>
            <w:tcBorders>
              <w:tl2br w:val="nil"/>
              <w:tr2bl w:val="nil"/>
            </w:tcBorders>
            <w:vAlign w:val="center"/>
          </w:tcPr>
          <w:p w14:paraId="26AFBA88">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706DEA47">
            <w:pPr>
              <w:pStyle w:val="5"/>
              <w:jc w:val="center"/>
              <w:rPr>
                <w:color w:val="auto"/>
                <w:highlight w:val="none"/>
              </w:rPr>
            </w:pPr>
            <w:r>
              <w:rPr>
                <w:color w:val="auto"/>
                <w:sz w:val="21"/>
                <w:highlight w:val="none"/>
              </w:rPr>
              <w:t>2</w:t>
            </w:r>
          </w:p>
        </w:tc>
        <w:tc>
          <w:tcPr>
            <w:tcW w:w="2860" w:type="pct"/>
            <w:tcBorders>
              <w:tl2br w:val="nil"/>
              <w:tr2bl w:val="nil"/>
            </w:tcBorders>
            <w:tcMar>
              <w:top w:w="0" w:type="dxa"/>
              <w:left w:w="105" w:type="dxa"/>
              <w:bottom w:w="0" w:type="dxa"/>
              <w:right w:w="105" w:type="dxa"/>
            </w:tcMar>
            <w:vAlign w:val="center"/>
          </w:tcPr>
          <w:p w14:paraId="1DCF4918">
            <w:pPr>
              <w:pStyle w:val="5"/>
              <w:jc w:val="left"/>
              <w:rPr>
                <w:color w:val="auto"/>
                <w:highlight w:val="none"/>
              </w:rPr>
            </w:pPr>
            <w:r>
              <w:rPr>
                <w:color w:val="auto"/>
                <w:sz w:val="21"/>
                <w:highlight w:val="none"/>
              </w:rPr>
              <w:t>7.消杀过程不得使用违禁药品或无效药物，未达要求的</w:t>
            </w:r>
          </w:p>
        </w:tc>
        <w:tc>
          <w:tcPr>
            <w:tcW w:w="477" w:type="pct"/>
            <w:tcBorders>
              <w:tl2br w:val="nil"/>
              <w:tr2bl w:val="nil"/>
            </w:tcBorders>
            <w:tcMar>
              <w:top w:w="0" w:type="dxa"/>
              <w:left w:w="105" w:type="dxa"/>
              <w:bottom w:w="0" w:type="dxa"/>
              <w:right w:w="105" w:type="dxa"/>
            </w:tcMar>
            <w:vAlign w:val="center"/>
          </w:tcPr>
          <w:p w14:paraId="40FB7E0C">
            <w:pPr>
              <w:pStyle w:val="5"/>
              <w:jc w:val="center"/>
              <w:rPr>
                <w:color w:val="auto"/>
                <w:highlight w:val="none"/>
              </w:rPr>
            </w:pPr>
            <w:r>
              <w:rPr>
                <w:color w:val="auto"/>
                <w:sz w:val="21"/>
                <w:highlight w:val="none"/>
              </w:rPr>
              <w:t>2</w:t>
            </w:r>
          </w:p>
        </w:tc>
        <w:tc>
          <w:tcPr>
            <w:tcW w:w="421" w:type="pct"/>
            <w:tcBorders>
              <w:tl2br w:val="nil"/>
              <w:tr2bl w:val="nil"/>
            </w:tcBorders>
            <w:tcMar>
              <w:top w:w="0" w:type="dxa"/>
              <w:left w:w="105" w:type="dxa"/>
              <w:bottom w:w="0" w:type="dxa"/>
              <w:right w:w="105" w:type="dxa"/>
            </w:tcMar>
            <w:vAlign w:val="center"/>
          </w:tcPr>
          <w:p w14:paraId="548CB844">
            <w:pPr>
              <w:pStyle w:val="5"/>
              <w:jc w:val="center"/>
              <w:rPr>
                <w:color w:val="auto"/>
                <w:highlight w:val="none"/>
              </w:rPr>
            </w:pPr>
            <w:r>
              <w:rPr>
                <w:color w:val="auto"/>
                <w:sz w:val="21"/>
                <w:highlight w:val="none"/>
              </w:rPr>
              <w:t>1</w:t>
            </w:r>
          </w:p>
        </w:tc>
      </w:tr>
      <w:tr w14:paraId="7A59A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18BC52BF">
            <w:pPr>
              <w:jc w:val="center"/>
              <w:rPr>
                <w:color w:val="auto"/>
                <w:highlight w:val="none"/>
              </w:rPr>
            </w:pPr>
          </w:p>
        </w:tc>
        <w:tc>
          <w:tcPr>
            <w:tcW w:w="490" w:type="pct"/>
            <w:vMerge w:val="continue"/>
            <w:tcBorders>
              <w:tl2br w:val="nil"/>
              <w:tr2bl w:val="nil"/>
            </w:tcBorders>
            <w:vAlign w:val="center"/>
          </w:tcPr>
          <w:p w14:paraId="1F595D69">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6E240545">
            <w:pPr>
              <w:pStyle w:val="5"/>
              <w:jc w:val="center"/>
              <w:rPr>
                <w:color w:val="auto"/>
                <w:highlight w:val="none"/>
              </w:rPr>
            </w:pPr>
            <w:r>
              <w:rPr>
                <w:color w:val="auto"/>
                <w:sz w:val="21"/>
                <w:highlight w:val="none"/>
              </w:rPr>
              <w:t>1</w:t>
            </w:r>
          </w:p>
        </w:tc>
        <w:tc>
          <w:tcPr>
            <w:tcW w:w="2860" w:type="pct"/>
            <w:tcBorders>
              <w:tl2br w:val="nil"/>
              <w:tr2bl w:val="nil"/>
            </w:tcBorders>
            <w:tcMar>
              <w:top w:w="0" w:type="dxa"/>
              <w:left w:w="105" w:type="dxa"/>
              <w:bottom w:w="0" w:type="dxa"/>
              <w:right w:w="105" w:type="dxa"/>
            </w:tcMar>
            <w:vAlign w:val="center"/>
          </w:tcPr>
          <w:p w14:paraId="2615FF89">
            <w:pPr>
              <w:pStyle w:val="5"/>
              <w:jc w:val="left"/>
              <w:rPr>
                <w:color w:val="auto"/>
                <w:highlight w:val="none"/>
              </w:rPr>
            </w:pPr>
            <w:r>
              <w:rPr>
                <w:color w:val="auto"/>
                <w:sz w:val="21"/>
                <w:highlight w:val="none"/>
              </w:rPr>
              <w:t>8.消杀人员配备防护装备，未达要求的</w:t>
            </w:r>
          </w:p>
        </w:tc>
        <w:tc>
          <w:tcPr>
            <w:tcW w:w="477" w:type="pct"/>
            <w:tcBorders>
              <w:tl2br w:val="nil"/>
              <w:tr2bl w:val="nil"/>
            </w:tcBorders>
            <w:tcMar>
              <w:top w:w="0" w:type="dxa"/>
              <w:left w:w="105" w:type="dxa"/>
              <w:bottom w:w="0" w:type="dxa"/>
              <w:right w:w="105" w:type="dxa"/>
            </w:tcMar>
            <w:vAlign w:val="center"/>
          </w:tcPr>
          <w:p w14:paraId="48E0B251">
            <w:pPr>
              <w:pStyle w:val="5"/>
              <w:jc w:val="center"/>
              <w:rPr>
                <w:color w:val="auto"/>
                <w:highlight w:val="none"/>
              </w:rPr>
            </w:pPr>
            <w:r>
              <w:rPr>
                <w:color w:val="auto"/>
                <w:sz w:val="21"/>
                <w:highlight w:val="none"/>
              </w:rPr>
              <w:t>1</w:t>
            </w:r>
          </w:p>
        </w:tc>
        <w:tc>
          <w:tcPr>
            <w:tcW w:w="421" w:type="pct"/>
            <w:tcBorders>
              <w:tl2br w:val="nil"/>
              <w:tr2bl w:val="nil"/>
            </w:tcBorders>
            <w:tcMar>
              <w:top w:w="0" w:type="dxa"/>
              <w:left w:w="105" w:type="dxa"/>
              <w:bottom w:w="0" w:type="dxa"/>
              <w:right w:w="105" w:type="dxa"/>
            </w:tcMar>
            <w:vAlign w:val="center"/>
          </w:tcPr>
          <w:p w14:paraId="3E218B33">
            <w:pPr>
              <w:pStyle w:val="5"/>
              <w:jc w:val="center"/>
              <w:rPr>
                <w:color w:val="auto"/>
                <w:highlight w:val="none"/>
              </w:rPr>
            </w:pPr>
            <w:r>
              <w:rPr>
                <w:color w:val="auto"/>
                <w:sz w:val="21"/>
                <w:highlight w:val="none"/>
              </w:rPr>
              <w:t>1</w:t>
            </w:r>
          </w:p>
        </w:tc>
      </w:tr>
      <w:tr w14:paraId="72BB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5E6F029C">
            <w:pPr>
              <w:jc w:val="center"/>
              <w:rPr>
                <w:color w:val="auto"/>
                <w:highlight w:val="none"/>
              </w:rPr>
            </w:pPr>
          </w:p>
        </w:tc>
        <w:tc>
          <w:tcPr>
            <w:tcW w:w="490" w:type="pct"/>
            <w:vMerge w:val="continue"/>
            <w:tcBorders>
              <w:tl2br w:val="nil"/>
              <w:tr2bl w:val="nil"/>
            </w:tcBorders>
            <w:vAlign w:val="center"/>
          </w:tcPr>
          <w:p w14:paraId="1809EF2A">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34363C7D">
            <w:pPr>
              <w:pStyle w:val="5"/>
              <w:jc w:val="center"/>
              <w:rPr>
                <w:color w:val="auto"/>
                <w:highlight w:val="none"/>
              </w:rPr>
            </w:pPr>
            <w:r>
              <w:rPr>
                <w:color w:val="auto"/>
                <w:sz w:val="21"/>
                <w:highlight w:val="none"/>
              </w:rPr>
              <w:t>1</w:t>
            </w:r>
          </w:p>
        </w:tc>
        <w:tc>
          <w:tcPr>
            <w:tcW w:w="2860" w:type="pct"/>
            <w:tcBorders>
              <w:tl2br w:val="nil"/>
              <w:tr2bl w:val="nil"/>
            </w:tcBorders>
            <w:tcMar>
              <w:top w:w="0" w:type="dxa"/>
              <w:left w:w="105" w:type="dxa"/>
              <w:bottom w:w="0" w:type="dxa"/>
              <w:right w:w="105" w:type="dxa"/>
            </w:tcMar>
            <w:vAlign w:val="center"/>
          </w:tcPr>
          <w:p w14:paraId="3D1326E5">
            <w:pPr>
              <w:pStyle w:val="5"/>
              <w:jc w:val="left"/>
              <w:rPr>
                <w:color w:val="auto"/>
                <w:highlight w:val="none"/>
              </w:rPr>
            </w:pPr>
            <w:r>
              <w:rPr>
                <w:color w:val="auto"/>
                <w:sz w:val="21"/>
                <w:highlight w:val="none"/>
              </w:rPr>
              <w:t>9.消杀人员工作时穿着工作服装并戴带工作证件，未达要求的，每人</w:t>
            </w:r>
          </w:p>
        </w:tc>
        <w:tc>
          <w:tcPr>
            <w:tcW w:w="477" w:type="pct"/>
            <w:tcBorders>
              <w:tl2br w:val="nil"/>
              <w:tr2bl w:val="nil"/>
            </w:tcBorders>
            <w:tcMar>
              <w:top w:w="0" w:type="dxa"/>
              <w:left w:w="105" w:type="dxa"/>
              <w:bottom w:w="0" w:type="dxa"/>
              <w:right w:w="105" w:type="dxa"/>
            </w:tcMar>
            <w:vAlign w:val="center"/>
          </w:tcPr>
          <w:p w14:paraId="1DC69F0F">
            <w:pPr>
              <w:pStyle w:val="5"/>
              <w:jc w:val="center"/>
              <w:rPr>
                <w:color w:val="auto"/>
                <w:highlight w:val="none"/>
              </w:rPr>
            </w:pPr>
            <w:r>
              <w:rPr>
                <w:color w:val="auto"/>
                <w:sz w:val="21"/>
                <w:highlight w:val="none"/>
              </w:rPr>
              <w:t>0.2</w:t>
            </w:r>
          </w:p>
        </w:tc>
        <w:tc>
          <w:tcPr>
            <w:tcW w:w="421" w:type="pct"/>
            <w:tcBorders>
              <w:tl2br w:val="nil"/>
              <w:tr2bl w:val="nil"/>
            </w:tcBorders>
            <w:tcMar>
              <w:top w:w="0" w:type="dxa"/>
              <w:left w:w="105" w:type="dxa"/>
              <w:bottom w:w="0" w:type="dxa"/>
              <w:right w:w="105" w:type="dxa"/>
            </w:tcMar>
            <w:vAlign w:val="center"/>
          </w:tcPr>
          <w:p w14:paraId="6B3C7EE6">
            <w:pPr>
              <w:pStyle w:val="5"/>
              <w:jc w:val="center"/>
              <w:rPr>
                <w:color w:val="auto"/>
                <w:highlight w:val="none"/>
              </w:rPr>
            </w:pPr>
            <w:r>
              <w:rPr>
                <w:color w:val="auto"/>
                <w:sz w:val="21"/>
                <w:highlight w:val="none"/>
              </w:rPr>
              <w:t>1</w:t>
            </w:r>
          </w:p>
        </w:tc>
      </w:tr>
      <w:tr w14:paraId="21EB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6A95008B">
            <w:pPr>
              <w:jc w:val="center"/>
              <w:rPr>
                <w:color w:val="auto"/>
                <w:highlight w:val="none"/>
              </w:rPr>
            </w:pPr>
          </w:p>
        </w:tc>
        <w:tc>
          <w:tcPr>
            <w:tcW w:w="490" w:type="pct"/>
            <w:vMerge w:val="continue"/>
            <w:tcBorders>
              <w:tl2br w:val="nil"/>
              <w:tr2bl w:val="nil"/>
            </w:tcBorders>
            <w:vAlign w:val="center"/>
          </w:tcPr>
          <w:p w14:paraId="0D44B3B8">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4159BFF5">
            <w:pPr>
              <w:pStyle w:val="5"/>
              <w:jc w:val="center"/>
              <w:rPr>
                <w:color w:val="auto"/>
                <w:highlight w:val="none"/>
              </w:rPr>
            </w:pPr>
            <w:r>
              <w:rPr>
                <w:color w:val="auto"/>
                <w:sz w:val="21"/>
                <w:highlight w:val="none"/>
              </w:rPr>
              <w:t>3</w:t>
            </w:r>
          </w:p>
        </w:tc>
        <w:tc>
          <w:tcPr>
            <w:tcW w:w="2860" w:type="pct"/>
            <w:tcBorders>
              <w:tl2br w:val="nil"/>
              <w:tr2bl w:val="nil"/>
            </w:tcBorders>
            <w:tcMar>
              <w:top w:w="0" w:type="dxa"/>
              <w:left w:w="105" w:type="dxa"/>
              <w:bottom w:w="0" w:type="dxa"/>
              <w:right w:w="105" w:type="dxa"/>
            </w:tcMar>
            <w:vAlign w:val="center"/>
          </w:tcPr>
          <w:p w14:paraId="2A04C05A">
            <w:pPr>
              <w:pStyle w:val="5"/>
              <w:jc w:val="left"/>
              <w:rPr>
                <w:color w:val="auto"/>
                <w:highlight w:val="none"/>
              </w:rPr>
            </w:pPr>
            <w:r>
              <w:rPr>
                <w:color w:val="auto"/>
                <w:sz w:val="21"/>
                <w:highlight w:val="none"/>
              </w:rPr>
              <w:t>10.积极配合采购人进行应急消杀，未达要求的</w:t>
            </w:r>
          </w:p>
        </w:tc>
        <w:tc>
          <w:tcPr>
            <w:tcW w:w="477" w:type="pct"/>
            <w:tcBorders>
              <w:tl2br w:val="nil"/>
              <w:tr2bl w:val="nil"/>
            </w:tcBorders>
            <w:tcMar>
              <w:top w:w="0" w:type="dxa"/>
              <w:left w:w="105" w:type="dxa"/>
              <w:bottom w:w="0" w:type="dxa"/>
              <w:right w:w="105" w:type="dxa"/>
            </w:tcMar>
            <w:vAlign w:val="center"/>
          </w:tcPr>
          <w:p w14:paraId="4129B802">
            <w:pPr>
              <w:pStyle w:val="5"/>
              <w:jc w:val="center"/>
              <w:rPr>
                <w:color w:val="auto"/>
                <w:highlight w:val="none"/>
              </w:rPr>
            </w:pPr>
            <w:r>
              <w:rPr>
                <w:color w:val="auto"/>
                <w:sz w:val="21"/>
                <w:highlight w:val="none"/>
              </w:rPr>
              <w:t>3</w:t>
            </w:r>
          </w:p>
        </w:tc>
        <w:tc>
          <w:tcPr>
            <w:tcW w:w="421" w:type="pct"/>
            <w:tcBorders>
              <w:tl2br w:val="nil"/>
              <w:tr2bl w:val="nil"/>
            </w:tcBorders>
            <w:tcMar>
              <w:top w:w="0" w:type="dxa"/>
              <w:left w:w="105" w:type="dxa"/>
              <w:bottom w:w="0" w:type="dxa"/>
              <w:right w:w="105" w:type="dxa"/>
            </w:tcMar>
            <w:vAlign w:val="center"/>
          </w:tcPr>
          <w:p w14:paraId="178C5EA8">
            <w:pPr>
              <w:pStyle w:val="5"/>
              <w:jc w:val="center"/>
              <w:rPr>
                <w:color w:val="auto"/>
                <w:highlight w:val="none"/>
              </w:rPr>
            </w:pPr>
            <w:r>
              <w:rPr>
                <w:color w:val="auto"/>
                <w:sz w:val="21"/>
                <w:highlight w:val="none"/>
              </w:rPr>
              <w:t>2</w:t>
            </w:r>
          </w:p>
        </w:tc>
      </w:tr>
      <w:tr w14:paraId="5CAE2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34D53F3D">
            <w:pPr>
              <w:jc w:val="center"/>
              <w:rPr>
                <w:color w:val="auto"/>
                <w:highlight w:val="none"/>
              </w:rPr>
            </w:pPr>
          </w:p>
        </w:tc>
        <w:tc>
          <w:tcPr>
            <w:tcW w:w="490" w:type="pct"/>
            <w:vMerge w:val="continue"/>
            <w:tcBorders>
              <w:tl2br w:val="nil"/>
              <w:tr2bl w:val="nil"/>
            </w:tcBorders>
            <w:vAlign w:val="center"/>
          </w:tcPr>
          <w:p w14:paraId="717D7B11">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48C2288B">
            <w:pPr>
              <w:pStyle w:val="5"/>
              <w:jc w:val="center"/>
              <w:rPr>
                <w:color w:val="auto"/>
                <w:highlight w:val="none"/>
              </w:rPr>
            </w:pPr>
            <w:r>
              <w:rPr>
                <w:color w:val="auto"/>
                <w:sz w:val="21"/>
                <w:highlight w:val="none"/>
              </w:rPr>
              <w:t>3</w:t>
            </w:r>
          </w:p>
        </w:tc>
        <w:tc>
          <w:tcPr>
            <w:tcW w:w="2860" w:type="pct"/>
            <w:tcBorders>
              <w:tl2br w:val="nil"/>
              <w:tr2bl w:val="nil"/>
            </w:tcBorders>
            <w:tcMar>
              <w:top w:w="0" w:type="dxa"/>
              <w:left w:w="105" w:type="dxa"/>
              <w:bottom w:w="0" w:type="dxa"/>
              <w:right w:w="105" w:type="dxa"/>
            </w:tcMar>
            <w:vAlign w:val="center"/>
          </w:tcPr>
          <w:p w14:paraId="640A1D79">
            <w:pPr>
              <w:pStyle w:val="5"/>
              <w:jc w:val="left"/>
              <w:rPr>
                <w:color w:val="auto"/>
                <w:highlight w:val="none"/>
              </w:rPr>
            </w:pPr>
            <w:r>
              <w:rPr>
                <w:color w:val="auto"/>
                <w:sz w:val="21"/>
                <w:highlight w:val="none"/>
              </w:rPr>
              <w:t>11.积极配合甲方开展各项迎检工作，未达要求的</w:t>
            </w:r>
          </w:p>
        </w:tc>
        <w:tc>
          <w:tcPr>
            <w:tcW w:w="477" w:type="pct"/>
            <w:tcBorders>
              <w:tl2br w:val="nil"/>
              <w:tr2bl w:val="nil"/>
            </w:tcBorders>
            <w:tcMar>
              <w:top w:w="0" w:type="dxa"/>
              <w:left w:w="105" w:type="dxa"/>
              <w:bottom w:w="0" w:type="dxa"/>
              <w:right w:w="105" w:type="dxa"/>
            </w:tcMar>
            <w:vAlign w:val="center"/>
          </w:tcPr>
          <w:p w14:paraId="0657744A">
            <w:pPr>
              <w:pStyle w:val="5"/>
              <w:jc w:val="center"/>
              <w:rPr>
                <w:color w:val="auto"/>
                <w:highlight w:val="none"/>
              </w:rPr>
            </w:pPr>
            <w:r>
              <w:rPr>
                <w:color w:val="auto"/>
                <w:sz w:val="21"/>
                <w:highlight w:val="none"/>
              </w:rPr>
              <w:t>3</w:t>
            </w:r>
          </w:p>
        </w:tc>
        <w:tc>
          <w:tcPr>
            <w:tcW w:w="421" w:type="pct"/>
            <w:tcBorders>
              <w:tl2br w:val="nil"/>
              <w:tr2bl w:val="nil"/>
            </w:tcBorders>
            <w:tcMar>
              <w:top w:w="0" w:type="dxa"/>
              <w:left w:w="105" w:type="dxa"/>
              <w:bottom w:w="0" w:type="dxa"/>
              <w:right w:w="105" w:type="dxa"/>
            </w:tcMar>
            <w:vAlign w:val="center"/>
          </w:tcPr>
          <w:p w14:paraId="32A1B67D">
            <w:pPr>
              <w:pStyle w:val="5"/>
              <w:jc w:val="center"/>
              <w:rPr>
                <w:color w:val="auto"/>
                <w:highlight w:val="none"/>
              </w:rPr>
            </w:pPr>
            <w:r>
              <w:rPr>
                <w:color w:val="auto"/>
                <w:sz w:val="21"/>
                <w:highlight w:val="none"/>
              </w:rPr>
              <w:t>2</w:t>
            </w:r>
          </w:p>
        </w:tc>
      </w:tr>
      <w:tr w14:paraId="765D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07D352A0">
            <w:pPr>
              <w:jc w:val="center"/>
              <w:rPr>
                <w:color w:val="auto"/>
                <w:highlight w:val="none"/>
              </w:rPr>
            </w:pPr>
          </w:p>
        </w:tc>
        <w:tc>
          <w:tcPr>
            <w:tcW w:w="490" w:type="pct"/>
            <w:vMerge w:val="continue"/>
            <w:tcBorders>
              <w:tl2br w:val="nil"/>
              <w:tr2bl w:val="nil"/>
            </w:tcBorders>
            <w:vAlign w:val="center"/>
          </w:tcPr>
          <w:p w14:paraId="6EA79F78">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2AFE198C">
            <w:pPr>
              <w:pStyle w:val="5"/>
              <w:jc w:val="center"/>
              <w:rPr>
                <w:color w:val="auto"/>
                <w:highlight w:val="none"/>
              </w:rPr>
            </w:pPr>
            <w:r>
              <w:rPr>
                <w:color w:val="auto"/>
                <w:sz w:val="21"/>
                <w:highlight w:val="none"/>
              </w:rPr>
              <w:t>2</w:t>
            </w:r>
          </w:p>
        </w:tc>
        <w:tc>
          <w:tcPr>
            <w:tcW w:w="2860" w:type="pct"/>
            <w:tcBorders>
              <w:tl2br w:val="nil"/>
              <w:tr2bl w:val="nil"/>
            </w:tcBorders>
            <w:tcMar>
              <w:top w:w="0" w:type="dxa"/>
              <w:left w:w="105" w:type="dxa"/>
              <w:bottom w:w="0" w:type="dxa"/>
              <w:right w:w="105" w:type="dxa"/>
            </w:tcMar>
            <w:vAlign w:val="center"/>
          </w:tcPr>
          <w:p w14:paraId="57B4079D">
            <w:pPr>
              <w:pStyle w:val="5"/>
              <w:jc w:val="left"/>
              <w:rPr>
                <w:color w:val="auto"/>
                <w:highlight w:val="none"/>
              </w:rPr>
            </w:pPr>
            <w:r>
              <w:rPr>
                <w:color w:val="auto"/>
                <w:sz w:val="21"/>
                <w:highlight w:val="none"/>
              </w:rPr>
              <w:t>12.每季度各类有效投诉或媒体负面曝光不得超过2宗，每超出1宗</w:t>
            </w:r>
          </w:p>
        </w:tc>
        <w:tc>
          <w:tcPr>
            <w:tcW w:w="477" w:type="pct"/>
            <w:tcBorders>
              <w:tl2br w:val="nil"/>
              <w:tr2bl w:val="nil"/>
            </w:tcBorders>
            <w:tcMar>
              <w:top w:w="0" w:type="dxa"/>
              <w:left w:w="105" w:type="dxa"/>
              <w:bottom w:w="0" w:type="dxa"/>
              <w:right w:w="105" w:type="dxa"/>
            </w:tcMar>
            <w:vAlign w:val="center"/>
          </w:tcPr>
          <w:p w14:paraId="381CB162">
            <w:pPr>
              <w:pStyle w:val="5"/>
              <w:jc w:val="center"/>
              <w:rPr>
                <w:color w:val="auto"/>
                <w:highlight w:val="none"/>
              </w:rPr>
            </w:pPr>
            <w:r>
              <w:rPr>
                <w:color w:val="auto"/>
                <w:sz w:val="21"/>
                <w:highlight w:val="none"/>
              </w:rPr>
              <w:t>1</w:t>
            </w:r>
          </w:p>
        </w:tc>
        <w:tc>
          <w:tcPr>
            <w:tcW w:w="421" w:type="pct"/>
            <w:tcBorders>
              <w:tl2br w:val="nil"/>
              <w:tr2bl w:val="nil"/>
            </w:tcBorders>
            <w:tcMar>
              <w:top w:w="0" w:type="dxa"/>
              <w:left w:w="105" w:type="dxa"/>
              <w:bottom w:w="0" w:type="dxa"/>
              <w:right w:w="105" w:type="dxa"/>
            </w:tcMar>
            <w:vAlign w:val="center"/>
          </w:tcPr>
          <w:p w14:paraId="2232371B">
            <w:pPr>
              <w:pStyle w:val="5"/>
              <w:jc w:val="center"/>
              <w:rPr>
                <w:color w:val="auto"/>
                <w:highlight w:val="none"/>
              </w:rPr>
            </w:pPr>
            <w:r>
              <w:rPr>
                <w:color w:val="auto"/>
                <w:sz w:val="21"/>
                <w:highlight w:val="none"/>
              </w:rPr>
              <w:t>2</w:t>
            </w:r>
          </w:p>
        </w:tc>
      </w:tr>
      <w:tr w14:paraId="3828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restart"/>
            <w:tcBorders>
              <w:tl2br w:val="nil"/>
              <w:tr2bl w:val="nil"/>
            </w:tcBorders>
            <w:tcMar>
              <w:top w:w="0" w:type="dxa"/>
              <w:left w:w="105" w:type="dxa"/>
              <w:bottom w:w="0" w:type="dxa"/>
              <w:right w:w="105" w:type="dxa"/>
            </w:tcMar>
            <w:vAlign w:val="center"/>
          </w:tcPr>
          <w:p w14:paraId="79218CF5">
            <w:pPr>
              <w:pStyle w:val="5"/>
              <w:jc w:val="center"/>
              <w:rPr>
                <w:color w:val="auto"/>
                <w:highlight w:val="none"/>
              </w:rPr>
            </w:pPr>
            <w:r>
              <w:rPr>
                <w:color w:val="auto"/>
                <w:sz w:val="21"/>
                <w:highlight w:val="none"/>
              </w:rPr>
              <w:t>二、作业效果</w:t>
            </w:r>
          </w:p>
        </w:tc>
        <w:tc>
          <w:tcPr>
            <w:tcW w:w="490" w:type="pct"/>
            <w:vMerge w:val="restart"/>
            <w:tcBorders>
              <w:tl2br w:val="nil"/>
              <w:tr2bl w:val="nil"/>
            </w:tcBorders>
            <w:tcMar>
              <w:top w:w="0" w:type="dxa"/>
              <w:left w:w="105" w:type="dxa"/>
              <w:bottom w:w="0" w:type="dxa"/>
              <w:right w:w="105" w:type="dxa"/>
            </w:tcMar>
            <w:vAlign w:val="center"/>
          </w:tcPr>
          <w:p w14:paraId="2E6CDCAE">
            <w:pPr>
              <w:pStyle w:val="5"/>
              <w:jc w:val="center"/>
              <w:rPr>
                <w:color w:val="auto"/>
                <w:highlight w:val="none"/>
              </w:rPr>
            </w:pPr>
            <w:r>
              <w:rPr>
                <w:color w:val="auto"/>
                <w:sz w:val="21"/>
                <w:highlight w:val="none"/>
              </w:rPr>
              <w:t>灭鼠（20分）</w:t>
            </w:r>
          </w:p>
        </w:tc>
        <w:tc>
          <w:tcPr>
            <w:tcW w:w="379" w:type="pct"/>
            <w:tcBorders>
              <w:tl2br w:val="nil"/>
              <w:tr2bl w:val="nil"/>
            </w:tcBorders>
            <w:tcMar>
              <w:top w:w="0" w:type="dxa"/>
              <w:left w:w="105" w:type="dxa"/>
              <w:bottom w:w="0" w:type="dxa"/>
              <w:right w:w="105" w:type="dxa"/>
            </w:tcMar>
            <w:vAlign w:val="center"/>
          </w:tcPr>
          <w:p w14:paraId="6CB1D632">
            <w:pPr>
              <w:pStyle w:val="5"/>
              <w:jc w:val="center"/>
              <w:rPr>
                <w:color w:val="auto"/>
                <w:highlight w:val="none"/>
              </w:rPr>
            </w:pPr>
            <w:r>
              <w:rPr>
                <w:color w:val="auto"/>
                <w:sz w:val="21"/>
                <w:highlight w:val="none"/>
              </w:rPr>
              <w:t>5</w:t>
            </w:r>
          </w:p>
        </w:tc>
        <w:tc>
          <w:tcPr>
            <w:tcW w:w="2860" w:type="pct"/>
            <w:tcBorders>
              <w:tl2br w:val="nil"/>
              <w:tr2bl w:val="nil"/>
            </w:tcBorders>
            <w:tcMar>
              <w:top w:w="0" w:type="dxa"/>
              <w:left w:w="105" w:type="dxa"/>
              <w:bottom w:w="0" w:type="dxa"/>
              <w:right w:w="105" w:type="dxa"/>
            </w:tcMar>
            <w:vAlign w:val="center"/>
          </w:tcPr>
          <w:p w14:paraId="7D7E49D0">
            <w:pPr>
              <w:pStyle w:val="5"/>
              <w:jc w:val="left"/>
              <w:rPr>
                <w:color w:val="auto"/>
                <w:highlight w:val="none"/>
              </w:rPr>
            </w:pPr>
            <w:r>
              <w:rPr>
                <w:color w:val="auto"/>
                <w:sz w:val="21"/>
                <w:highlight w:val="none"/>
              </w:rPr>
              <w:t>1.合理选点投放灭鼠毒饵，未达要求的，每处</w:t>
            </w:r>
          </w:p>
        </w:tc>
        <w:tc>
          <w:tcPr>
            <w:tcW w:w="477" w:type="pct"/>
            <w:tcBorders>
              <w:tl2br w:val="nil"/>
              <w:tr2bl w:val="nil"/>
            </w:tcBorders>
            <w:tcMar>
              <w:top w:w="0" w:type="dxa"/>
              <w:left w:w="105" w:type="dxa"/>
              <w:bottom w:w="0" w:type="dxa"/>
              <w:right w:w="105" w:type="dxa"/>
            </w:tcMar>
            <w:vAlign w:val="center"/>
          </w:tcPr>
          <w:p w14:paraId="70B3EA0F">
            <w:pPr>
              <w:pStyle w:val="5"/>
              <w:jc w:val="center"/>
              <w:rPr>
                <w:color w:val="auto"/>
                <w:highlight w:val="none"/>
              </w:rPr>
            </w:pPr>
            <w:r>
              <w:rPr>
                <w:color w:val="auto"/>
                <w:sz w:val="21"/>
                <w:highlight w:val="none"/>
              </w:rPr>
              <w:t>0.5</w:t>
            </w:r>
          </w:p>
        </w:tc>
        <w:tc>
          <w:tcPr>
            <w:tcW w:w="421" w:type="pct"/>
            <w:tcBorders>
              <w:tl2br w:val="nil"/>
              <w:tr2bl w:val="nil"/>
            </w:tcBorders>
            <w:tcMar>
              <w:top w:w="0" w:type="dxa"/>
              <w:left w:w="105" w:type="dxa"/>
              <w:bottom w:w="0" w:type="dxa"/>
              <w:right w:w="105" w:type="dxa"/>
            </w:tcMar>
            <w:vAlign w:val="center"/>
          </w:tcPr>
          <w:p w14:paraId="2D586266">
            <w:pPr>
              <w:pStyle w:val="5"/>
              <w:jc w:val="center"/>
              <w:rPr>
                <w:color w:val="auto"/>
                <w:highlight w:val="none"/>
              </w:rPr>
            </w:pPr>
            <w:r>
              <w:rPr>
                <w:color w:val="auto"/>
                <w:sz w:val="21"/>
                <w:highlight w:val="none"/>
              </w:rPr>
              <w:t>1</w:t>
            </w:r>
          </w:p>
        </w:tc>
      </w:tr>
      <w:tr w14:paraId="2D10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270524FA">
            <w:pPr>
              <w:jc w:val="center"/>
              <w:rPr>
                <w:color w:val="auto"/>
                <w:highlight w:val="none"/>
              </w:rPr>
            </w:pPr>
          </w:p>
        </w:tc>
        <w:tc>
          <w:tcPr>
            <w:tcW w:w="490" w:type="pct"/>
            <w:vMerge w:val="continue"/>
            <w:tcBorders>
              <w:tl2br w:val="nil"/>
              <w:tr2bl w:val="nil"/>
            </w:tcBorders>
            <w:vAlign w:val="center"/>
          </w:tcPr>
          <w:p w14:paraId="0F110BFB">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2E8DC19D">
            <w:pPr>
              <w:pStyle w:val="5"/>
              <w:jc w:val="center"/>
              <w:rPr>
                <w:color w:val="auto"/>
                <w:highlight w:val="none"/>
              </w:rPr>
            </w:pPr>
            <w:r>
              <w:rPr>
                <w:color w:val="auto"/>
                <w:sz w:val="21"/>
                <w:highlight w:val="none"/>
              </w:rPr>
              <w:t>3</w:t>
            </w:r>
          </w:p>
        </w:tc>
        <w:tc>
          <w:tcPr>
            <w:tcW w:w="2860" w:type="pct"/>
            <w:tcBorders>
              <w:tl2br w:val="nil"/>
              <w:tr2bl w:val="nil"/>
            </w:tcBorders>
            <w:tcMar>
              <w:top w:w="0" w:type="dxa"/>
              <w:left w:w="105" w:type="dxa"/>
              <w:bottom w:w="0" w:type="dxa"/>
              <w:right w:w="105" w:type="dxa"/>
            </w:tcMar>
            <w:vAlign w:val="center"/>
          </w:tcPr>
          <w:p w14:paraId="561FDD88">
            <w:pPr>
              <w:pStyle w:val="5"/>
              <w:jc w:val="left"/>
              <w:rPr>
                <w:color w:val="auto"/>
                <w:highlight w:val="none"/>
              </w:rPr>
            </w:pPr>
            <w:r>
              <w:rPr>
                <w:color w:val="auto"/>
                <w:sz w:val="21"/>
                <w:highlight w:val="none"/>
              </w:rPr>
              <w:t>2每堆毒饵不少于50克，未达要求的，每5处</w:t>
            </w:r>
          </w:p>
        </w:tc>
        <w:tc>
          <w:tcPr>
            <w:tcW w:w="477" w:type="pct"/>
            <w:tcBorders>
              <w:tl2br w:val="nil"/>
              <w:tr2bl w:val="nil"/>
            </w:tcBorders>
            <w:tcMar>
              <w:top w:w="0" w:type="dxa"/>
              <w:left w:w="105" w:type="dxa"/>
              <w:bottom w:w="0" w:type="dxa"/>
              <w:right w:w="105" w:type="dxa"/>
            </w:tcMar>
            <w:vAlign w:val="center"/>
          </w:tcPr>
          <w:p w14:paraId="03A7D802">
            <w:pPr>
              <w:pStyle w:val="5"/>
              <w:jc w:val="center"/>
              <w:rPr>
                <w:color w:val="auto"/>
                <w:highlight w:val="none"/>
              </w:rPr>
            </w:pPr>
            <w:r>
              <w:rPr>
                <w:color w:val="auto"/>
                <w:sz w:val="21"/>
                <w:highlight w:val="none"/>
              </w:rPr>
              <w:t>0.2</w:t>
            </w:r>
          </w:p>
        </w:tc>
        <w:tc>
          <w:tcPr>
            <w:tcW w:w="421" w:type="pct"/>
            <w:tcBorders>
              <w:tl2br w:val="nil"/>
              <w:tr2bl w:val="nil"/>
            </w:tcBorders>
            <w:tcMar>
              <w:top w:w="0" w:type="dxa"/>
              <w:left w:w="105" w:type="dxa"/>
              <w:bottom w:w="0" w:type="dxa"/>
              <w:right w:w="105" w:type="dxa"/>
            </w:tcMar>
            <w:vAlign w:val="center"/>
          </w:tcPr>
          <w:p w14:paraId="630B8F65">
            <w:pPr>
              <w:pStyle w:val="5"/>
              <w:jc w:val="center"/>
              <w:rPr>
                <w:color w:val="auto"/>
                <w:highlight w:val="none"/>
              </w:rPr>
            </w:pPr>
            <w:r>
              <w:rPr>
                <w:color w:val="auto"/>
                <w:sz w:val="21"/>
                <w:highlight w:val="none"/>
              </w:rPr>
              <w:t>1</w:t>
            </w:r>
          </w:p>
        </w:tc>
      </w:tr>
      <w:tr w14:paraId="7519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6BF110C6">
            <w:pPr>
              <w:jc w:val="center"/>
              <w:rPr>
                <w:color w:val="auto"/>
                <w:highlight w:val="none"/>
              </w:rPr>
            </w:pPr>
          </w:p>
        </w:tc>
        <w:tc>
          <w:tcPr>
            <w:tcW w:w="490" w:type="pct"/>
            <w:vMerge w:val="continue"/>
            <w:tcBorders>
              <w:tl2br w:val="nil"/>
              <w:tr2bl w:val="nil"/>
            </w:tcBorders>
            <w:vAlign w:val="center"/>
          </w:tcPr>
          <w:p w14:paraId="74D1505E">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79BDE017">
            <w:pPr>
              <w:pStyle w:val="5"/>
              <w:jc w:val="center"/>
              <w:rPr>
                <w:color w:val="auto"/>
                <w:highlight w:val="none"/>
              </w:rPr>
            </w:pPr>
            <w:r>
              <w:rPr>
                <w:color w:val="auto"/>
                <w:sz w:val="21"/>
                <w:highlight w:val="none"/>
              </w:rPr>
              <w:t>4</w:t>
            </w:r>
          </w:p>
        </w:tc>
        <w:tc>
          <w:tcPr>
            <w:tcW w:w="2860" w:type="pct"/>
            <w:tcBorders>
              <w:tl2br w:val="nil"/>
              <w:tr2bl w:val="nil"/>
            </w:tcBorders>
            <w:tcMar>
              <w:top w:w="0" w:type="dxa"/>
              <w:left w:w="105" w:type="dxa"/>
              <w:bottom w:w="0" w:type="dxa"/>
              <w:right w:w="105" w:type="dxa"/>
            </w:tcMar>
            <w:vAlign w:val="center"/>
          </w:tcPr>
          <w:p w14:paraId="3C9BC90F">
            <w:pPr>
              <w:pStyle w:val="5"/>
              <w:jc w:val="left"/>
              <w:rPr>
                <w:color w:val="auto"/>
                <w:highlight w:val="none"/>
              </w:rPr>
            </w:pPr>
            <w:r>
              <w:rPr>
                <w:color w:val="auto"/>
                <w:sz w:val="21"/>
                <w:highlight w:val="none"/>
              </w:rPr>
              <w:t>3.及时补饵，每堆毒饵残留量不得少于10克，未达要求的，每5处</w:t>
            </w:r>
          </w:p>
        </w:tc>
        <w:tc>
          <w:tcPr>
            <w:tcW w:w="477" w:type="pct"/>
            <w:tcBorders>
              <w:tl2br w:val="nil"/>
              <w:tr2bl w:val="nil"/>
            </w:tcBorders>
            <w:tcMar>
              <w:top w:w="0" w:type="dxa"/>
              <w:left w:w="105" w:type="dxa"/>
              <w:bottom w:w="0" w:type="dxa"/>
              <w:right w:w="105" w:type="dxa"/>
            </w:tcMar>
            <w:vAlign w:val="center"/>
          </w:tcPr>
          <w:p w14:paraId="36F2B7EE">
            <w:pPr>
              <w:pStyle w:val="5"/>
              <w:jc w:val="center"/>
              <w:rPr>
                <w:color w:val="auto"/>
                <w:highlight w:val="none"/>
              </w:rPr>
            </w:pPr>
            <w:r>
              <w:rPr>
                <w:color w:val="auto"/>
                <w:sz w:val="21"/>
                <w:highlight w:val="none"/>
              </w:rPr>
              <w:t>0.2</w:t>
            </w:r>
          </w:p>
        </w:tc>
        <w:tc>
          <w:tcPr>
            <w:tcW w:w="421" w:type="pct"/>
            <w:tcBorders>
              <w:tl2br w:val="nil"/>
              <w:tr2bl w:val="nil"/>
            </w:tcBorders>
            <w:tcMar>
              <w:top w:w="0" w:type="dxa"/>
              <w:left w:w="105" w:type="dxa"/>
              <w:bottom w:w="0" w:type="dxa"/>
              <w:right w:w="105" w:type="dxa"/>
            </w:tcMar>
            <w:vAlign w:val="center"/>
          </w:tcPr>
          <w:p w14:paraId="30B11BA4">
            <w:pPr>
              <w:pStyle w:val="5"/>
              <w:jc w:val="center"/>
              <w:rPr>
                <w:color w:val="auto"/>
                <w:highlight w:val="none"/>
              </w:rPr>
            </w:pPr>
            <w:r>
              <w:rPr>
                <w:color w:val="auto"/>
                <w:sz w:val="21"/>
                <w:highlight w:val="none"/>
              </w:rPr>
              <w:t>1</w:t>
            </w:r>
          </w:p>
        </w:tc>
      </w:tr>
      <w:tr w14:paraId="25998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5CD7CA47">
            <w:pPr>
              <w:jc w:val="center"/>
              <w:rPr>
                <w:color w:val="auto"/>
                <w:highlight w:val="none"/>
              </w:rPr>
            </w:pPr>
          </w:p>
        </w:tc>
        <w:tc>
          <w:tcPr>
            <w:tcW w:w="490" w:type="pct"/>
            <w:vMerge w:val="continue"/>
            <w:tcBorders>
              <w:tl2br w:val="nil"/>
              <w:tr2bl w:val="nil"/>
            </w:tcBorders>
            <w:vAlign w:val="center"/>
          </w:tcPr>
          <w:p w14:paraId="512DAFD7">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574E9585">
            <w:pPr>
              <w:pStyle w:val="5"/>
              <w:jc w:val="center"/>
              <w:rPr>
                <w:color w:val="auto"/>
                <w:highlight w:val="none"/>
              </w:rPr>
            </w:pPr>
            <w:r>
              <w:rPr>
                <w:color w:val="auto"/>
                <w:sz w:val="21"/>
                <w:highlight w:val="none"/>
              </w:rPr>
              <w:t>2</w:t>
            </w:r>
          </w:p>
        </w:tc>
        <w:tc>
          <w:tcPr>
            <w:tcW w:w="2860" w:type="pct"/>
            <w:tcBorders>
              <w:tl2br w:val="nil"/>
              <w:tr2bl w:val="nil"/>
            </w:tcBorders>
            <w:tcMar>
              <w:top w:w="0" w:type="dxa"/>
              <w:left w:w="105" w:type="dxa"/>
              <w:bottom w:w="0" w:type="dxa"/>
              <w:right w:w="105" w:type="dxa"/>
            </w:tcMar>
            <w:vAlign w:val="center"/>
          </w:tcPr>
          <w:p w14:paraId="57BB1327">
            <w:pPr>
              <w:pStyle w:val="5"/>
              <w:jc w:val="left"/>
              <w:rPr>
                <w:color w:val="auto"/>
                <w:highlight w:val="none"/>
              </w:rPr>
            </w:pPr>
            <w:r>
              <w:rPr>
                <w:color w:val="auto"/>
                <w:sz w:val="21"/>
                <w:highlight w:val="none"/>
              </w:rPr>
              <w:t>4.每季度饱和投药前按通知要求知会村（社区），未达要求的，每漏通知一个村（社区）的</w:t>
            </w:r>
          </w:p>
        </w:tc>
        <w:tc>
          <w:tcPr>
            <w:tcW w:w="477" w:type="pct"/>
            <w:tcBorders>
              <w:tl2br w:val="nil"/>
              <w:tr2bl w:val="nil"/>
            </w:tcBorders>
            <w:tcMar>
              <w:top w:w="0" w:type="dxa"/>
              <w:left w:w="105" w:type="dxa"/>
              <w:bottom w:w="0" w:type="dxa"/>
              <w:right w:w="105" w:type="dxa"/>
            </w:tcMar>
            <w:vAlign w:val="center"/>
          </w:tcPr>
          <w:p w14:paraId="55621B69">
            <w:pPr>
              <w:pStyle w:val="5"/>
              <w:jc w:val="center"/>
              <w:rPr>
                <w:color w:val="auto"/>
                <w:highlight w:val="none"/>
              </w:rPr>
            </w:pPr>
            <w:r>
              <w:rPr>
                <w:color w:val="auto"/>
                <w:sz w:val="21"/>
                <w:highlight w:val="none"/>
              </w:rPr>
              <w:t>0.2</w:t>
            </w:r>
          </w:p>
        </w:tc>
        <w:tc>
          <w:tcPr>
            <w:tcW w:w="421" w:type="pct"/>
            <w:tcBorders>
              <w:tl2br w:val="nil"/>
              <w:tr2bl w:val="nil"/>
            </w:tcBorders>
            <w:tcMar>
              <w:top w:w="0" w:type="dxa"/>
              <w:left w:w="105" w:type="dxa"/>
              <w:bottom w:w="0" w:type="dxa"/>
              <w:right w:w="105" w:type="dxa"/>
            </w:tcMar>
            <w:vAlign w:val="center"/>
          </w:tcPr>
          <w:p w14:paraId="7889374B">
            <w:pPr>
              <w:pStyle w:val="5"/>
              <w:jc w:val="center"/>
              <w:rPr>
                <w:color w:val="auto"/>
                <w:highlight w:val="none"/>
              </w:rPr>
            </w:pPr>
            <w:r>
              <w:rPr>
                <w:color w:val="auto"/>
                <w:sz w:val="21"/>
                <w:highlight w:val="none"/>
              </w:rPr>
              <w:t>2</w:t>
            </w:r>
          </w:p>
        </w:tc>
      </w:tr>
      <w:tr w14:paraId="024A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57CE8A36">
            <w:pPr>
              <w:jc w:val="center"/>
              <w:rPr>
                <w:color w:val="auto"/>
                <w:highlight w:val="none"/>
              </w:rPr>
            </w:pPr>
          </w:p>
        </w:tc>
        <w:tc>
          <w:tcPr>
            <w:tcW w:w="490" w:type="pct"/>
            <w:vMerge w:val="continue"/>
            <w:tcBorders>
              <w:tl2br w:val="nil"/>
              <w:tr2bl w:val="nil"/>
            </w:tcBorders>
            <w:vAlign w:val="center"/>
          </w:tcPr>
          <w:p w14:paraId="1AB05A57">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54C65752">
            <w:pPr>
              <w:pStyle w:val="5"/>
              <w:jc w:val="center"/>
              <w:rPr>
                <w:color w:val="auto"/>
                <w:highlight w:val="none"/>
              </w:rPr>
            </w:pPr>
            <w:r>
              <w:rPr>
                <w:color w:val="auto"/>
                <w:sz w:val="21"/>
                <w:highlight w:val="none"/>
              </w:rPr>
              <w:t>6</w:t>
            </w:r>
          </w:p>
        </w:tc>
        <w:tc>
          <w:tcPr>
            <w:tcW w:w="2860" w:type="pct"/>
            <w:tcBorders>
              <w:tl2br w:val="nil"/>
              <w:tr2bl w:val="nil"/>
            </w:tcBorders>
            <w:tcMar>
              <w:top w:w="0" w:type="dxa"/>
              <w:left w:w="105" w:type="dxa"/>
              <w:bottom w:w="0" w:type="dxa"/>
              <w:right w:w="105" w:type="dxa"/>
            </w:tcMar>
            <w:vAlign w:val="center"/>
          </w:tcPr>
          <w:p w14:paraId="19EF4BCE">
            <w:pPr>
              <w:pStyle w:val="5"/>
              <w:jc w:val="left"/>
              <w:rPr>
                <w:color w:val="auto"/>
                <w:highlight w:val="none"/>
              </w:rPr>
            </w:pPr>
            <w:r>
              <w:rPr>
                <w:color w:val="auto"/>
                <w:sz w:val="21"/>
                <w:highlight w:val="none"/>
              </w:rPr>
              <w:t>5.外环境路径指数不超过5处/km</w:t>
            </w:r>
          </w:p>
        </w:tc>
        <w:tc>
          <w:tcPr>
            <w:tcW w:w="477" w:type="pct"/>
            <w:tcBorders>
              <w:tl2br w:val="nil"/>
              <w:tr2bl w:val="nil"/>
            </w:tcBorders>
            <w:tcMar>
              <w:top w:w="0" w:type="dxa"/>
              <w:left w:w="105" w:type="dxa"/>
              <w:bottom w:w="0" w:type="dxa"/>
              <w:right w:w="105" w:type="dxa"/>
            </w:tcMar>
            <w:vAlign w:val="center"/>
          </w:tcPr>
          <w:p w14:paraId="3B938BF2">
            <w:pPr>
              <w:pStyle w:val="5"/>
              <w:jc w:val="center"/>
              <w:rPr>
                <w:color w:val="auto"/>
                <w:highlight w:val="none"/>
              </w:rPr>
            </w:pPr>
            <w:r>
              <w:rPr>
                <w:color w:val="auto"/>
                <w:sz w:val="21"/>
                <w:highlight w:val="none"/>
              </w:rPr>
              <w:t>1</w:t>
            </w:r>
          </w:p>
        </w:tc>
        <w:tc>
          <w:tcPr>
            <w:tcW w:w="421" w:type="pct"/>
            <w:tcBorders>
              <w:tl2br w:val="nil"/>
              <w:tr2bl w:val="nil"/>
            </w:tcBorders>
            <w:tcMar>
              <w:top w:w="0" w:type="dxa"/>
              <w:left w:w="105" w:type="dxa"/>
              <w:bottom w:w="0" w:type="dxa"/>
              <w:right w:w="105" w:type="dxa"/>
            </w:tcMar>
            <w:vAlign w:val="center"/>
          </w:tcPr>
          <w:p w14:paraId="332DA8A8">
            <w:pPr>
              <w:pStyle w:val="5"/>
              <w:jc w:val="center"/>
              <w:rPr>
                <w:color w:val="auto"/>
                <w:highlight w:val="none"/>
              </w:rPr>
            </w:pPr>
            <w:r>
              <w:rPr>
                <w:color w:val="auto"/>
                <w:sz w:val="21"/>
                <w:highlight w:val="none"/>
              </w:rPr>
              <w:t>1</w:t>
            </w:r>
          </w:p>
        </w:tc>
      </w:tr>
      <w:tr w14:paraId="56045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07BE0D0C">
            <w:pPr>
              <w:jc w:val="center"/>
              <w:rPr>
                <w:color w:val="auto"/>
                <w:highlight w:val="none"/>
              </w:rPr>
            </w:pPr>
          </w:p>
        </w:tc>
        <w:tc>
          <w:tcPr>
            <w:tcW w:w="490" w:type="pct"/>
            <w:vMerge w:val="restart"/>
            <w:tcBorders>
              <w:tl2br w:val="nil"/>
              <w:tr2bl w:val="nil"/>
            </w:tcBorders>
            <w:tcMar>
              <w:top w:w="0" w:type="dxa"/>
              <w:left w:w="105" w:type="dxa"/>
              <w:bottom w:w="0" w:type="dxa"/>
              <w:right w:w="105" w:type="dxa"/>
            </w:tcMar>
            <w:vAlign w:val="center"/>
          </w:tcPr>
          <w:p w14:paraId="2567E80F">
            <w:pPr>
              <w:pStyle w:val="5"/>
              <w:jc w:val="center"/>
              <w:rPr>
                <w:color w:val="auto"/>
                <w:highlight w:val="none"/>
              </w:rPr>
            </w:pPr>
            <w:r>
              <w:rPr>
                <w:color w:val="auto"/>
                <w:sz w:val="21"/>
                <w:highlight w:val="none"/>
              </w:rPr>
              <w:t>灭蚊（26分）</w:t>
            </w:r>
          </w:p>
        </w:tc>
        <w:tc>
          <w:tcPr>
            <w:tcW w:w="379" w:type="pct"/>
            <w:tcBorders>
              <w:tl2br w:val="nil"/>
              <w:tr2bl w:val="nil"/>
            </w:tcBorders>
            <w:tcMar>
              <w:top w:w="0" w:type="dxa"/>
              <w:left w:w="105" w:type="dxa"/>
              <w:bottom w:w="0" w:type="dxa"/>
              <w:right w:w="105" w:type="dxa"/>
            </w:tcMar>
            <w:vAlign w:val="center"/>
          </w:tcPr>
          <w:p w14:paraId="5289F4AD">
            <w:pPr>
              <w:pStyle w:val="5"/>
              <w:jc w:val="center"/>
              <w:rPr>
                <w:color w:val="auto"/>
                <w:highlight w:val="none"/>
              </w:rPr>
            </w:pPr>
            <w:r>
              <w:rPr>
                <w:rFonts w:hint="eastAsia"/>
                <w:color w:val="auto"/>
                <w:sz w:val="21"/>
                <w:highlight w:val="none"/>
                <w:lang w:val="en-US" w:eastAsia="zh-CN"/>
              </w:rPr>
              <w:t>5</w:t>
            </w:r>
          </w:p>
        </w:tc>
        <w:tc>
          <w:tcPr>
            <w:tcW w:w="2860" w:type="pct"/>
            <w:tcBorders>
              <w:tl2br w:val="nil"/>
              <w:tr2bl w:val="nil"/>
            </w:tcBorders>
            <w:tcMar>
              <w:top w:w="0" w:type="dxa"/>
              <w:left w:w="105" w:type="dxa"/>
              <w:bottom w:w="0" w:type="dxa"/>
              <w:right w:w="105" w:type="dxa"/>
            </w:tcMar>
            <w:vAlign w:val="center"/>
          </w:tcPr>
          <w:p w14:paraId="3CA43DEE">
            <w:pPr>
              <w:pStyle w:val="5"/>
              <w:jc w:val="left"/>
              <w:rPr>
                <w:color w:val="auto"/>
                <w:highlight w:val="none"/>
              </w:rPr>
            </w:pPr>
            <w:r>
              <w:rPr>
                <w:rFonts w:hint="eastAsia"/>
                <w:color w:val="auto"/>
                <w:sz w:val="21"/>
                <w:highlight w:val="none"/>
                <w:lang w:val="en-US" w:eastAsia="zh-CN"/>
              </w:rPr>
              <w:t>1</w:t>
            </w:r>
            <w:r>
              <w:rPr>
                <w:color w:val="auto"/>
                <w:sz w:val="21"/>
                <w:highlight w:val="none"/>
              </w:rPr>
              <w:t>.积水沉沙井等部位，按要求放置含10克倍硫磷缓释剂（或其它相当剂量的灭蚊幼药物），每月更换一次，更换不全面的，每5处</w:t>
            </w:r>
          </w:p>
        </w:tc>
        <w:tc>
          <w:tcPr>
            <w:tcW w:w="477" w:type="pct"/>
            <w:tcBorders>
              <w:tl2br w:val="nil"/>
              <w:tr2bl w:val="nil"/>
            </w:tcBorders>
            <w:tcMar>
              <w:top w:w="0" w:type="dxa"/>
              <w:left w:w="105" w:type="dxa"/>
              <w:bottom w:w="0" w:type="dxa"/>
              <w:right w:w="105" w:type="dxa"/>
            </w:tcMar>
            <w:vAlign w:val="center"/>
          </w:tcPr>
          <w:p w14:paraId="4D5FEE9E">
            <w:pPr>
              <w:pStyle w:val="5"/>
              <w:jc w:val="center"/>
              <w:rPr>
                <w:color w:val="auto"/>
                <w:highlight w:val="none"/>
              </w:rPr>
            </w:pPr>
            <w:r>
              <w:rPr>
                <w:color w:val="auto"/>
                <w:sz w:val="21"/>
                <w:highlight w:val="none"/>
              </w:rPr>
              <w:t>0.1</w:t>
            </w:r>
          </w:p>
        </w:tc>
        <w:tc>
          <w:tcPr>
            <w:tcW w:w="421" w:type="pct"/>
            <w:tcBorders>
              <w:tl2br w:val="nil"/>
              <w:tr2bl w:val="nil"/>
            </w:tcBorders>
            <w:tcMar>
              <w:top w:w="0" w:type="dxa"/>
              <w:left w:w="105" w:type="dxa"/>
              <w:bottom w:w="0" w:type="dxa"/>
              <w:right w:w="105" w:type="dxa"/>
            </w:tcMar>
            <w:vAlign w:val="center"/>
          </w:tcPr>
          <w:p w14:paraId="70088A03">
            <w:pPr>
              <w:pStyle w:val="5"/>
              <w:jc w:val="center"/>
              <w:rPr>
                <w:color w:val="auto"/>
                <w:highlight w:val="none"/>
              </w:rPr>
            </w:pPr>
            <w:r>
              <w:rPr>
                <w:color w:val="auto"/>
                <w:sz w:val="21"/>
                <w:highlight w:val="none"/>
              </w:rPr>
              <w:t>1</w:t>
            </w:r>
          </w:p>
        </w:tc>
      </w:tr>
      <w:tr w14:paraId="335D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5F7FC587">
            <w:pPr>
              <w:jc w:val="center"/>
              <w:rPr>
                <w:color w:val="auto"/>
                <w:highlight w:val="none"/>
              </w:rPr>
            </w:pPr>
          </w:p>
        </w:tc>
        <w:tc>
          <w:tcPr>
            <w:tcW w:w="490" w:type="pct"/>
            <w:vMerge w:val="continue"/>
            <w:tcBorders>
              <w:tl2br w:val="nil"/>
              <w:tr2bl w:val="nil"/>
            </w:tcBorders>
            <w:vAlign w:val="center"/>
          </w:tcPr>
          <w:p w14:paraId="6C80E8FA">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1F96E820">
            <w:pPr>
              <w:pStyle w:val="5"/>
              <w:jc w:val="center"/>
              <w:rPr>
                <w:rFonts w:hint="eastAsia" w:eastAsiaTheme="minorEastAsia"/>
                <w:color w:val="auto"/>
                <w:highlight w:val="none"/>
                <w:lang w:eastAsia="zh-CN"/>
              </w:rPr>
            </w:pPr>
            <w:r>
              <w:rPr>
                <w:color w:val="auto"/>
                <w:sz w:val="21"/>
                <w:highlight w:val="none"/>
              </w:rPr>
              <w:t>3</w:t>
            </w:r>
          </w:p>
        </w:tc>
        <w:tc>
          <w:tcPr>
            <w:tcW w:w="2860" w:type="pct"/>
            <w:tcBorders>
              <w:tl2br w:val="nil"/>
              <w:tr2bl w:val="nil"/>
            </w:tcBorders>
            <w:tcMar>
              <w:top w:w="0" w:type="dxa"/>
              <w:left w:w="105" w:type="dxa"/>
              <w:bottom w:w="0" w:type="dxa"/>
              <w:right w:w="105" w:type="dxa"/>
            </w:tcMar>
            <w:vAlign w:val="center"/>
          </w:tcPr>
          <w:p w14:paraId="5CD71F23">
            <w:pPr>
              <w:pStyle w:val="5"/>
              <w:jc w:val="left"/>
              <w:rPr>
                <w:color w:val="auto"/>
                <w:highlight w:val="none"/>
              </w:rPr>
            </w:pPr>
            <w:r>
              <w:rPr>
                <w:rFonts w:hint="eastAsia"/>
                <w:color w:val="auto"/>
                <w:sz w:val="21"/>
                <w:highlight w:val="none"/>
                <w:lang w:val="en-US" w:eastAsia="zh-CN"/>
              </w:rPr>
              <w:t>2</w:t>
            </w:r>
            <w:r>
              <w:rPr>
                <w:color w:val="auto"/>
                <w:sz w:val="21"/>
                <w:highlight w:val="none"/>
              </w:rPr>
              <w:t>.全面进行蚊孳生地调查，未达要求的，每处</w:t>
            </w:r>
          </w:p>
        </w:tc>
        <w:tc>
          <w:tcPr>
            <w:tcW w:w="477" w:type="pct"/>
            <w:tcBorders>
              <w:tl2br w:val="nil"/>
              <w:tr2bl w:val="nil"/>
            </w:tcBorders>
            <w:tcMar>
              <w:top w:w="0" w:type="dxa"/>
              <w:left w:w="105" w:type="dxa"/>
              <w:bottom w:w="0" w:type="dxa"/>
              <w:right w:w="105" w:type="dxa"/>
            </w:tcMar>
            <w:vAlign w:val="center"/>
          </w:tcPr>
          <w:p w14:paraId="05B4985C">
            <w:pPr>
              <w:pStyle w:val="5"/>
              <w:jc w:val="center"/>
              <w:rPr>
                <w:color w:val="auto"/>
                <w:highlight w:val="none"/>
              </w:rPr>
            </w:pPr>
            <w:r>
              <w:rPr>
                <w:color w:val="auto"/>
                <w:sz w:val="21"/>
                <w:highlight w:val="none"/>
              </w:rPr>
              <w:t>0.5</w:t>
            </w:r>
          </w:p>
        </w:tc>
        <w:tc>
          <w:tcPr>
            <w:tcW w:w="421" w:type="pct"/>
            <w:tcBorders>
              <w:tl2br w:val="nil"/>
              <w:tr2bl w:val="nil"/>
            </w:tcBorders>
            <w:tcMar>
              <w:top w:w="0" w:type="dxa"/>
              <w:left w:w="105" w:type="dxa"/>
              <w:bottom w:w="0" w:type="dxa"/>
              <w:right w:w="105" w:type="dxa"/>
            </w:tcMar>
            <w:vAlign w:val="center"/>
          </w:tcPr>
          <w:p w14:paraId="408E9BE4">
            <w:pPr>
              <w:pStyle w:val="5"/>
              <w:jc w:val="center"/>
              <w:rPr>
                <w:color w:val="auto"/>
                <w:highlight w:val="none"/>
              </w:rPr>
            </w:pPr>
            <w:r>
              <w:rPr>
                <w:color w:val="auto"/>
                <w:sz w:val="21"/>
                <w:highlight w:val="none"/>
              </w:rPr>
              <w:t>1</w:t>
            </w:r>
          </w:p>
        </w:tc>
      </w:tr>
      <w:tr w14:paraId="63567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5F01C62E">
            <w:pPr>
              <w:jc w:val="center"/>
              <w:rPr>
                <w:color w:val="auto"/>
                <w:highlight w:val="none"/>
              </w:rPr>
            </w:pPr>
          </w:p>
        </w:tc>
        <w:tc>
          <w:tcPr>
            <w:tcW w:w="490" w:type="pct"/>
            <w:vMerge w:val="continue"/>
            <w:tcBorders>
              <w:tl2br w:val="nil"/>
              <w:tr2bl w:val="nil"/>
            </w:tcBorders>
            <w:vAlign w:val="center"/>
          </w:tcPr>
          <w:p w14:paraId="50F7BB26">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1BD4BDA4">
            <w:pPr>
              <w:pStyle w:val="5"/>
              <w:jc w:val="center"/>
              <w:rPr>
                <w:color w:val="auto"/>
                <w:highlight w:val="none"/>
              </w:rPr>
            </w:pPr>
            <w:r>
              <w:rPr>
                <w:color w:val="auto"/>
                <w:sz w:val="21"/>
                <w:highlight w:val="none"/>
              </w:rPr>
              <w:t>4</w:t>
            </w:r>
          </w:p>
        </w:tc>
        <w:tc>
          <w:tcPr>
            <w:tcW w:w="2860" w:type="pct"/>
            <w:tcBorders>
              <w:tl2br w:val="nil"/>
              <w:tr2bl w:val="nil"/>
            </w:tcBorders>
            <w:tcMar>
              <w:top w:w="0" w:type="dxa"/>
              <w:left w:w="105" w:type="dxa"/>
              <w:bottom w:w="0" w:type="dxa"/>
              <w:right w:w="105" w:type="dxa"/>
            </w:tcMar>
            <w:vAlign w:val="center"/>
          </w:tcPr>
          <w:p w14:paraId="2ED20EFA">
            <w:pPr>
              <w:pStyle w:val="5"/>
              <w:jc w:val="left"/>
              <w:rPr>
                <w:color w:val="auto"/>
                <w:highlight w:val="none"/>
              </w:rPr>
            </w:pPr>
            <w:r>
              <w:rPr>
                <w:rFonts w:hint="eastAsia"/>
                <w:color w:val="auto"/>
                <w:sz w:val="21"/>
                <w:highlight w:val="none"/>
                <w:lang w:val="en-US" w:eastAsia="zh-CN"/>
              </w:rPr>
              <w:t>3</w:t>
            </w:r>
            <w:r>
              <w:rPr>
                <w:color w:val="auto"/>
                <w:sz w:val="21"/>
                <w:highlight w:val="none"/>
              </w:rPr>
              <w:t>.按要求合理处理外环境孳生地，未达要求的，每处</w:t>
            </w:r>
          </w:p>
        </w:tc>
        <w:tc>
          <w:tcPr>
            <w:tcW w:w="477" w:type="pct"/>
            <w:tcBorders>
              <w:tl2br w:val="nil"/>
              <w:tr2bl w:val="nil"/>
            </w:tcBorders>
            <w:tcMar>
              <w:top w:w="0" w:type="dxa"/>
              <w:left w:w="105" w:type="dxa"/>
              <w:bottom w:w="0" w:type="dxa"/>
              <w:right w:w="105" w:type="dxa"/>
            </w:tcMar>
            <w:vAlign w:val="center"/>
          </w:tcPr>
          <w:p w14:paraId="31F8E8E0">
            <w:pPr>
              <w:pStyle w:val="5"/>
              <w:jc w:val="center"/>
              <w:rPr>
                <w:color w:val="auto"/>
                <w:highlight w:val="none"/>
              </w:rPr>
            </w:pPr>
            <w:r>
              <w:rPr>
                <w:color w:val="auto"/>
                <w:sz w:val="21"/>
                <w:highlight w:val="none"/>
              </w:rPr>
              <w:t>0.5</w:t>
            </w:r>
          </w:p>
        </w:tc>
        <w:tc>
          <w:tcPr>
            <w:tcW w:w="421" w:type="pct"/>
            <w:tcBorders>
              <w:tl2br w:val="nil"/>
              <w:tr2bl w:val="nil"/>
            </w:tcBorders>
            <w:tcMar>
              <w:top w:w="0" w:type="dxa"/>
              <w:left w:w="105" w:type="dxa"/>
              <w:bottom w:w="0" w:type="dxa"/>
              <w:right w:w="105" w:type="dxa"/>
            </w:tcMar>
            <w:vAlign w:val="center"/>
          </w:tcPr>
          <w:p w14:paraId="3EA69154">
            <w:pPr>
              <w:pStyle w:val="5"/>
              <w:jc w:val="center"/>
              <w:rPr>
                <w:color w:val="auto"/>
                <w:highlight w:val="none"/>
              </w:rPr>
            </w:pPr>
            <w:r>
              <w:rPr>
                <w:color w:val="auto"/>
                <w:sz w:val="21"/>
                <w:highlight w:val="none"/>
              </w:rPr>
              <w:t>1</w:t>
            </w:r>
          </w:p>
        </w:tc>
      </w:tr>
      <w:tr w14:paraId="4010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447DC6E8">
            <w:pPr>
              <w:jc w:val="center"/>
              <w:rPr>
                <w:color w:val="auto"/>
                <w:highlight w:val="none"/>
              </w:rPr>
            </w:pPr>
          </w:p>
        </w:tc>
        <w:tc>
          <w:tcPr>
            <w:tcW w:w="490" w:type="pct"/>
            <w:vMerge w:val="continue"/>
            <w:tcBorders>
              <w:tl2br w:val="nil"/>
              <w:tr2bl w:val="nil"/>
            </w:tcBorders>
            <w:vAlign w:val="center"/>
          </w:tcPr>
          <w:p w14:paraId="595CEF78">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40645664">
            <w:pPr>
              <w:pStyle w:val="5"/>
              <w:jc w:val="center"/>
              <w:rPr>
                <w:color w:val="auto"/>
                <w:highlight w:val="none"/>
              </w:rPr>
            </w:pPr>
            <w:r>
              <w:rPr>
                <w:color w:val="auto"/>
                <w:sz w:val="21"/>
                <w:highlight w:val="none"/>
              </w:rPr>
              <w:t>4</w:t>
            </w:r>
          </w:p>
        </w:tc>
        <w:tc>
          <w:tcPr>
            <w:tcW w:w="2860" w:type="pct"/>
            <w:tcBorders>
              <w:tl2br w:val="nil"/>
              <w:tr2bl w:val="nil"/>
            </w:tcBorders>
            <w:tcMar>
              <w:top w:w="0" w:type="dxa"/>
              <w:left w:w="105" w:type="dxa"/>
              <w:bottom w:w="0" w:type="dxa"/>
              <w:right w:w="105" w:type="dxa"/>
            </w:tcMar>
            <w:vAlign w:val="center"/>
          </w:tcPr>
          <w:p w14:paraId="0203E685">
            <w:pPr>
              <w:pStyle w:val="5"/>
              <w:jc w:val="left"/>
              <w:rPr>
                <w:color w:val="auto"/>
                <w:highlight w:val="none"/>
              </w:rPr>
            </w:pPr>
            <w:r>
              <w:rPr>
                <w:rFonts w:hint="eastAsia"/>
                <w:color w:val="auto"/>
                <w:sz w:val="21"/>
                <w:highlight w:val="none"/>
                <w:lang w:val="en-US" w:eastAsia="zh-CN"/>
              </w:rPr>
              <w:t>4</w:t>
            </w:r>
            <w:r>
              <w:rPr>
                <w:color w:val="auto"/>
                <w:sz w:val="21"/>
                <w:highlight w:val="none"/>
              </w:rPr>
              <w:t>.按要求全面落实公共区域外环境灭杀成蚊，未达要求的，每处</w:t>
            </w:r>
          </w:p>
        </w:tc>
        <w:tc>
          <w:tcPr>
            <w:tcW w:w="477" w:type="pct"/>
            <w:tcBorders>
              <w:tl2br w:val="nil"/>
              <w:tr2bl w:val="nil"/>
            </w:tcBorders>
            <w:tcMar>
              <w:top w:w="0" w:type="dxa"/>
              <w:left w:w="105" w:type="dxa"/>
              <w:bottom w:w="0" w:type="dxa"/>
              <w:right w:w="105" w:type="dxa"/>
            </w:tcMar>
            <w:vAlign w:val="center"/>
          </w:tcPr>
          <w:p w14:paraId="7239020E">
            <w:pPr>
              <w:pStyle w:val="5"/>
              <w:jc w:val="center"/>
              <w:rPr>
                <w:color w:val="auto"/>
                <w:highlight w:val="none"/>
              </w:rPr>
            </w:pPr>
            <w:r>
              <w:rPr>
                <w:color w:val="auto"/>
                <w:sz w:val="21"/>
                <w:highlight w:val="none"/>
              </w:rPr>
              <w:t>1</w:t>
            </w:r>
          </w:p>
        </w:tc>
        <w:tc>
          <w:tcPr>
            <w:tcW w:w="421" w:type="pct"/>
            <w:tcBorders>
              <w:tl2br w:val="nil"/>
              <w:tr2bl w:val="nil"/>
            </w:tcBorders>
            <w:tcMar>
              <w:top w:w="0" w:type="dxa"/>
              <w:left w:w="105" w:type="dxa"/>
              <w:bottom w:w="0" w:type="dxa"/>
              <w:right w:w="105" w:type="dxa"/>
            </w:tcMar>
            <w:vAlign w:val="center"/>
          </w:tcPr>
          <w:p w14:paraId="1B917075">
            <w:pPr>
              <w:pStyle w:val="5"/>
              <w:jc w:val="center"/>
              <w:rPr>
                <w:color w:val="auto"/>
                <w:highlight w:val="none"/>
              </w:rPr>
            </w:pPr>
            <w:r>
              <w:rPr>
                <w:color w:val="auto"/>
                <w:sz w:val="21"/>
                <w:highlight w:val="none"/>
              </w:rPr>
              <w:t>1</w:t>
            </w:r>
          </w:p>
        </w:tc>
      </w:tr>
      <w:tr w14:paraId="4A2C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38F23E92">
            <w:pPr>
              <w:jc w:val="center"/>
              <w:rPr>
                <w:color w:val="auto"/>
                <w:highlight w:val="none"/>
              </w:rPr>
            </w:pPr>
          </w:p>
        </w:tc>
        <w:tc>
          <w:tcPr>
            <w:tcW w:w="490" w:type="pct"/>
            <w:vMerge w:val="continue"/>
            <w:tcBorders>
              <w:tl2br w:val="nil"/>
              <w:tr2bl w:val="nil"/>
            </w:tcBorders>
            <w:vAlign w:val="center"/>
          </w:tcPr>
          <w:p w14:paraId="227D76C6">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09C72F22">
            <w:pPr>
              <w:pStyle w:val="5"/>
              <w:jc w:val="center"/>
              <w:rPr>
                <w:color w:val="auto"/>
                <w:highlight w:val="none"/>
              </w:rPr>
            </w:pPr>
            <w:r>
              <w:rPr>
                <w:color w:val="auto"/>
                <w:sz w:val="21"/>
                <w:highlight w:val="none"/>
              </w:rPr>
              <w:t>10</w:t>
            </w:r>
          </w:p>
        </w:tc>
        <w:tc>
          <w:tcPr>
            <w:tcW w:w="2860" w:type="pct"/>
            <w:tcBorders>
              <w:tl2br w:val="nil"/>
              <w:tr2bl w:val="nil"/>
            </w:tcBorders>
            <w:tcMar>
              <w:top w:w="0" w:type="dxa"/>
              <w:left w:w="105" w:type="dxa"/>
              <w:bottom w:w="0" w:type="dxa"/>
              <w:right w:w="105" w:type="dxa"/>
            </w:tcMar>
            <w:vAlign w:val="center"/>
          </w:tcPr>
          <w:p w14:paraId="2CC52696">
            <w:pPr>
              <w:pStyle w:val="5"/>
              <w:jc w:val="left"/>
              <w:rPr>
                <w:color w:val="auto"/>
                <w:highlight w:val="none"/>
              </w:rPr>
            </w:pPr>
            <w:r>
              <w:rPr>
                <w:rFonts w:hint="eastAsia"/>
                <w:color w:val="auto"/>
                <w:sz w:val="21"/>
                <w:highlight w:val="none"/>
                <w:lang w:val="en-US" w:eastAsia="zh-CN"/>
              </w:rPr>
              <w:t>5</w:t>
            </w:r>
            <w:r>
              <w:rPr>
                <w:color w:val="auto"/>
                <w:sz w:val="21"/>
                <w:highlight w:val="none"/>
              </w:rPr>
              <w:t>.公共区域</w:t>
            </w:r>
            <w:r>
              <w:rPr>
                <w:rFonts w:hint="eastAsia"/>
                <w:color w:val="auto"/>
                <w:sz w:val="21"/>
                <w:highlight w:val="none"/>
                <w:lang w:eastAsia="zh-CN"/>
              </w:rPr>
              <w:t>成蚊监测</w:t>
            </w:r>
            <w:r>
              <w:rPr>
                <w:color w:val="auto"/>
                <w:sz w:val="21"/>
                <w:highlight w:val="none"/>
              </w:rPr>
              <w:t>指标达标，未达要求的，每处</w:t>
            </w:r>
          </w:p>
        </w:tc>
        <w:tc>
          <w:tcPr>
            <w:tcW w:w="477" w:type="pct"/>
            <w:tcBorders>
              <w:tl2br w:val="nil"/>
              <w:tr2bl w:val="nil"/>
            </w:tcBorders>
            <w:tcMar>
              <w:top w:w="0" w:type="dxa"/>
              <w:left w:w="105" w:type="dxa"/>
              <w:bottom w:w="0" w:type="dxa"/>
              <w:right w:w="105" w:type="dxa"/>
            </w:tcMar>
            <w:vAlign w:val="center"/>
          </w:tcPr>
          <w:p w14:paraId="6C2D894D">
            <w:pPr>
              <w:pStyle w:val="5"/>
              <w:jc w:val="center"/>
              <w:rPr>
                <w:color w:val="auto"/>
                <w:highlight w:val="none"/>
              </w:rPr>
            </w:pPr>
            <w:r>
              <w:rPr>
                <w:color w:val="auto"/>
                <w:sz w:val="21"/>
                <w:highlight w:val="none"/>
              </w:rPr>
              <w:t>0.2</w:t>
            </w:r>
          </w:p>
        </w:tc>
        <w:tc>
          <w:tcPr>
            <w:tcW w:w="421" w:type="pct"/>
            <w:tcBorders>
              <w:tl2br w:val="nil"/>
              <w:tr2bl w:val="nil"/>
            </w:tcBorders>
            <w:tcMar>
              <w:top w:w="0" w:type="dxa"/>
              <w:left w:w="105" w:type="dxa"/>
              <w:bottom w:w="0" w:type="dxa"/>
              <w:right w:w="105" w:type="dxa"/>
            </w:tcMar>
            <w:vAlign w:val="center"/>
          </w:tcPr>
          <w:p w14:paraId="739F01DE">
            <w:pPr>
              <w:pStyle w:val="5"/>
              <w:jc w:val="center"/>
              <w:rPr>
                <w:color w:val="auto"/>
                <w:highlight w:val="none"/>
              </w:rPr>
            </w:pPr>
            <w:r>
              <w:rPr>
                <w:color w:val="auto"/>
                <w:sz w:val="21"/>
                <w:highlight w:val="none"/>
              </w:rPr>
              <w:t>1</w:t>
            </w:r>
          </w:p>
        </w:tc>
      </w:tr>
      <w:tr w14:paraId="12B8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3DCD6D4A">
            <w:pPr>
              <w:jc w:val="center"/>
              <w:rPr>
                <w:color w:val="auto"/>
                <w:highlight w:val="none"/>
              </w:rPr>
            </w:pPr>
          </w:p>
        </w:tc>
        <w:tc>
          <w:tcPr>
            <w:tcW w:w="490" w:type="pct"/>
            <w:vMerge w:val="restart"/>
            <w:tcBorders>
              <w:tl2br w:val="nil"/>
              <w:tr2bl w:val="nil"/>
            </w:tcBorders>
            <w:tcMar>
              <w:top w:w="0" w:type="dxa"/>
              <w:left w:w="105" w:type="dxa"/>
              <w:bottom w:w="0" w:type="dxa"/>
              <w:right w:w="105" w:type="dxa"/>
            </w:tcMar>
            <w:vAlign w:val="center"/>
          </w:tcPr>
          <w:p w14:paraId="1DB9E4D0">
            <w:pPr>
              <w:pStyle w:val="5"/>
              <w:jc w:val="center"/>
              <w:rPr>
                <w:color w:val="auto"/>
                <w:highlight w:val="none"/>
              </w:rPr>
            </w:pPr>
            <w:r>
              <w:rPr>
                <w:color w:val="auto"/>
                <w:sz w:val="21"/>
                <w:highlight w:val="none"/>
              </w:rPr>
              <w:t>灭蝇（7分）</w:t>
            </w:r>
          </w:p>
        </w:tc>
        <w:tc>
          <w:tcPr>
            <w:tcW w:w="379" w:type="pct"/>
            <w:tcBorders>
              <w:tl2br w:val="nil"/>
              <w:tr2bl w:val="nil"/>
            </w:tcBorders>
            <w:tcMar>
              <w:top w:w="0" w:type="dxa"/>
              <w:left w:w="105" w:type="dxa"/>
              <w:bottom w:w="0" w:type="dxa"/>
              <w:right w:w="105" w:type="dxa"/>
            </w:tcMar>
            <w:vAlign w:val="center"/>
          </w:tcPr>
          <w:p w14:paraId="378B4942">
            <w:pPr>
              <w:pStyle w:val="5"/>
              <w:jc w:val="center"/>
              <w:rPr>
                <w:color w:val="auto"/>
                <w:highlight w:val="none"/>
              </w:rPr>
            </w:pPr>
            <w:r>
              <w:rPr>
                <w:color w:val="auto"/>
                <w:sz w:val="21"/>
                <w:highlight w:val="none"/>
              </w:rPr>
              <w:t>1</w:t>
            </w:r>
          </w:p>
        </w:tc>
        <w:tc>
          <w:tcPr>
            <w:tcW w:w="2860" w:type="pct"/>
            <w:tcBorders>
              <w:tl2br w:val="nil"/>
              <w:tr2bl w:val="nil"/>
            </w:tcBorders>
            <w:tcMar>
              <w:top w:w="0" w:type="dxa"/>
              <w:left w:w="105" w:type="dxa"/>
              <w:bottom w:w="0" w:type="dxa"/>
              <w:right w:w="105" w:type="dxa"/>
            </w:tcMar>
            <w:vAlign w:val="center"/>
          </w:tcPr>
          <w:p w14:paraId="0DD545B1">
            <w:pPr>
              <w:pStyle w:val="5"/>
              <w:jc w:val="left"/>
              <w:rPr>
                <w:color w:val="auto"/>
                <w:highlight w:val="none"/>
              </w:rPr>
            </w:pPr>
            <w:r>
              <w:rPr>
                <w:color w:val="auto"/>
                <w:sz w:val="21"/>
                <w:highlight w:val="none"/>
              </w:rPr>
              <w:t>1.对公共区域蝇类孳生地普查登记，未达要求的，每漏1处</w:t>
            </w:r>
          </w:p>
        </w:tc>
        <w:tc>
          <w:tcPr>
            <w:tcW w:w="477" w:type="pct"/>
            <w:tcBorders>
              <w:tl2br w:val="nil"/>
              <w:tr2bl w:val="nil"/>
            </w:tcBorders>
            <w:tcMar>
              <w:top w:w="0" w:type="dxa"/>
              <w:left w:w="105" w:type="dxa"/>
              <w:bottom w:w="0" w:type="dxa"/>
              <w:right w:w="105" w:type="dxa"/>
            </w:tcMar>
            <w:vAlign w:val="center"/>
          </w:tcPr>
          <w:p w14:paraId="4107526C">
            <w:pPr>
              <w:pStyle w:val="5"/>
              <w:jc w:val="center"/>
              <w:rPr>
                <w:color w:val="auto"/>
                <w:highlight w:val="none"/>
              </w:rPr>
            </w:pPr>
            <w:r>
              <w:rPr>
                <w:color w:val="auto"/>
                <w:sz w:val="21"/>
                <w:highlight w:val="none"/>
              </w:rPr>
              <w:t>0.1</w:t>
            </w:r>
          </w:p>
        </w:tc>
        <w:tc>
          <w:tcPr>
            <w:tcW w:w="421" w:type="pct"/>
            <w:tcBorders>
              <w:tl2br w:val="nil"/>
              <w:tr2bl w:val="nil"/>
            </w:tcBorders>
            <w:tcMar>
              <w:top w:w="0" w:type="dxa"/>
              <w:left w:w="105" w:type="dxa"/>
              <w:bottom w:w="0" w:type="dxa"/>
              <w:right w:w="105" w:type="dxa"/>
            </w:tcMar>
            <w:vAlign w:val="center"/>
          </w:tcPr>
          <w:p w14:paraId="66886C97">
            <w:pPr>
              <w:pStyle w:val="5"/>
              <w:jc w:val="center"/>
              <w:rPr>
                <w:color w:val="auto"/>
                <w:highlight w:val="none"/>
              </w:rPr>
            </w:pPr>
            <w:r>
              <w:rPr>
                <w:color w:val="auto"/>
                <w:sz w:val="21"/>
                <w:highlight w:val="none"/>
              </w:rPr>
              <w:t>2</w:t>
            </w:r>
          </w:p>
        </w:tc>
      </w:tr>
      <w:tr w14:paraId="4B36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76AD8737">
            <w:pPr>
              <w:jc w:val="center"/>
              <w:rPr>
                <w:color w:val="auto"/>
                <w:highlight w:val="none"/>
              </w:rPr>
            </w:pPr>
          </w:p>
        </w:tc>
        <w:tc>
          <w:tcPr>
            <w:tcW w:w="490" w:type="pct"/>
            <w:vMerge w:val="continue"/>
            <w:tcBorders>
              <w:tl2br w:val="nil"/>
              <w:tr2bl w:val="nil"/>
            </w:tcBorders>
            <w:vAlign w:val="center"/>
          </w:tcPr>
          <w:p w14:paraId="2E939690">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5ACA78D5">
            <w:pPr>
              <w:pStyle w:val="5"/>
              <w:jc w:val="center"/>
              <w:rPr>
                <w:color w:val="auto"/>
                <w:highlight w:val="none"/>
              </w:rPr>
            </w:pPr>
            <w:r>
              <w:rPr>
                <w:color w:val="auto"/>
                <w:sz w:val="21"/>
                <w:highlight w:val="none"/>
              </w:rPr>
              <w:t>1</w:t>
            </w:r>
          </w:p>
        </w:tc>
        <w:tc>
          <w:tcPr>
            <w:tcW w:w="2860" w:type="pct"/>
            <w:tcBorders>
              <w:tl2br w:val="nil"/>
              <w:tr2bl w:val="nil"/>
            </w:tcBorders>
            <w:tcMar>
              <w:top w:w="0" w:type="dxa"/>
              <w:left w:w="105" w:type="dxa"/>
              <w:bottom w:w="0" w:type="dxa"/>
              <w:right w:w="105" w:type="dxa"/>
            </w:tcMar>
            <w:vAlign w:val="center"/>
          </w:tcPr>
          <w:p w14:paraId="1A3D4BF0">
            <w:pPr>
              <w:pStyle w:val="5"/>
              <w:jc w:val="left"/>
              <w:rPr>
                <w:color w:val="auto"/>
                <w:highlight w:val="none"/>
              </w:rPr>
            </w:pPr>
            <w:r>
              <w:rPr>
                <w:color w:val="auto"/>
                <w:sz w:val="21"/>
                <w:highlight w:val="none"/>
              </w:rPr>
              <w:t>2.每季度按要求定期监测成蝇密度（监测点10个以上），未达要求的，每少1个点</w:t>
            </w:r>
          </w:p>
        </w:tc>
        <w:tc>
          <w:tcPr>
            <w:tcW w:w="477" w:type="pct"/>
            <w:tcBorders>
              <w:tl2br w:val="nil"/>
              <w:tr2bl w:val="nil"/>
            </w:tcBorders>
            <w:tcMar>
              <w:top w:w="0" w:type="dxa"/>
              <w:left w:w="105" w:type="dxa"/>
              <w:bottom w:w="0" w:type="dxa"/>
              <w:right w:w="105" w:type="dxa"/>
            </w:tcMar>
            <w:vAlign w:val="center"/>
          </w:tcPr>
          <w:p w14:paraId="514A3B17">
            <w:pPr>
              <w:pStyle w:val="5"/>
              <w:jc w:val="center"/>
              <w:rPr>
                <w:color w:val="auto"/>
                <w:highlight w:val="none"/>
              </w:rPr>
            </w:pPr>
            <w:r>
              <w:rPr>
                <w:color w:val="auto"/>
                <w:sz w:val="21"/>
                <w:highlight w:val="none"/>
              </w:rPr>
              <w:t>0.2</w:t>
            </w:r>
          </w:p>
        </w:tc>
        <w:tc>
          <w:tcPr>
            <w:tcW w:w="421" w:type="pct"/>
            <w:tcBorders>
              <w:tl2br w:val="nil"/>
              <w:tr2bl w:val="nil"/>
            </w:tcBorders>
            <w:tcMar>
              <w:top w:w="0" w:type="dxa"/>
              <w:left w:w="105" w:type="dxa"/>
              <w:bottom w:w="0" w:type="dxa"/>
              <w:right w:w="105" w:type="dxa"/>
            </w:tcMar>
            <w:vAlign w:val="center"/>
          </w:tcPr>
          <w:p w14:paraId="5E3B9B6D">
            <w:pPr>
              <w:pStyle w:val="5"/>
              <w:jc w:val="center"/>
              <w:rPr>
                <w:color w:val="auto"/>
                <w:highlight w:val="none"/>
              </w:rPr>
            </w:pPr>
            <w:r>
              <w:rPr>
                <w:color w:val="auto"/>
                <w:sz w:val="21"/>
                <w:highlight w:val="none"/>
              </w:rPr>
              <w:t>2</w:t>
            </w:r>
          </w:p>
        </w:tc>
      </w:tr>
      <w:tr w14:paraId="5105D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4130E99B">
            <w:pPr>
              <w:jc w:val="center"/>
              <w:rPr>
                <w:color w:val="auto"/>
                <w:highlight w:val="none"/>
              </w:rPr>
            </w:pPr>
          </w:p>
        </w:tc>
        <w:tc>
          <w:tcPr>
            <w:tcW w:w="490" w:type="pct"/>
            <w:vMerge w:val="continue"/>
            <w:tcBorders>
              <w:tl2br w:val="nil"/>
              <w:tr2bl w:val="nil"/>
            </w:tcBorders>
            <w:vAlign w:val="center"/>
          </w:tcPr>
          <w:p w14:paraId="7680DD13">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3CE543C5">
            <w:pPr>
              <w:pStyle w:val="5"/>
              <w:jc w:val="center"/>
              <w:rPr>
                <w:color w:val="auto"/>
                <w:highlight w:val="none"/>
              </w:rPr>
            </w:pPr>
            <w:r>
              <w:rPr>
                <w:color w:val="auto"/>
                <w:sz w:val="21"/>
                <w:highlight w:val="none"/>
              </w:rPr>
              <w:t>2</w:t>
            </w:r>
          </w:p>
        </w:tc>
        <w:tc>
          <w:tcPr>
            <w:tcW w:w="2860" w:type="pct"/>
            <w:tcBorders>
              <w:tl2br w:val="nil"/>
              <w:tr2bl w:val="nil"/>
            </w:tcBorders>
            <w:tcMar>
              <w:top w:w="0" w:type="dxa"/>
              <w:left w:w="105" w:type="dxa"/>
              <w:bottom w:w="0" w:type="dxa"/>
              <w:right w:w="105" w:type="dxa"/>
            </w:tcMar>
            <w:vAlign w:val="center"/>
          </w:tcPr>
          <w:p w14:paraId="6C4AF132">
            <w:pPr>
              <w:pStyle w:val="5"/>
              <w:jc w:val="left"/>
              <w:rPr>
                <w:color w:val="auto"/>
                <w:highlight w:val="none"/>
              </w:rPr>
            </w:pPr>
            <w:r>
              <w:rPr>
                <w:color w:val="auto"/>
                <w:sz w:val="21"/>
                <w:highlight w:val="none"/>
              </w:rPr>
              <w:t>3.按要求处理蝇类孳生地，未达要求的，每处</w:t>
            </w:r>
          </w:p>
        </w:tc>
        <w:tc>
          <w:tcPr>
            <w:tcW w:w="477" w:type="pct"/>
            <w:tcBorders>
              <w:tl2br w:val="nil"/>
              <w:tr2bl w:val="nil"/>
            </w:tcBorders>
            <w:tcMar>
              <w:top w:w="0" w:type="dxa"/>
              <w:left w:w="105" w:type="dxa"/>
              <w:bottom w:w="0" w:type="dxa"/>
              <w:right w:w="105" w:type="dxa"/>
            </w:tcMar>
            <w:vAlign w:val="center"/>
          </w:tcPr>
          <w:p w14:paraId="43FE24BB">
            <w:pPr>
              <w:pStyle w:val="5"/>
              <w:jc w:val="center"/>
              <w:rPr>
                <w:color w:val="auto"/>
                <w:highlight w:val="none"/>
              </w:rPr>
            </w:pPr>
            <w:r>
              <w:rPr>
                <w:color w:val="auto"/>
                <w:sz w:val="21"/>
                <w:highlight w:val="none"/>
              </w:rPr>
              <w:t>0.2</w:t>
            </w:r>
          </w:p>
        </w:tc>
        <w:tc>
          <w:tcPr>
            <w:tcW w:w="421" w:type="pct"/>
            <w:tcBorders>
              <w:tl2br w:val="nil"/>
              <w:tr2bl w:val="nil"/>
            </w:tcBorders>
            <w:tcMar>
              <w:top w:w="0" w:type="dxa"/>
              <w:left w:w="105" w:type="dxa"/>
              <w:bottom w:w="0" w:type="dxa"/>
              <w:right w:w="105" w:type="dxa"/>
            </w:tcMar>
            <w:vAlign w:val="center"/>
          </w:tcPr>
          <w:p w14:paraId="2DFA1FC8">
            <w:pPr>
              <w:pStyle w:val="5"/>
              <w:jc w:val="center"/>
              <w:rPr>
                <w:color w:val="auto"/>
                <w:highlight w:val="none"/>
              </w:rPr>
            </w:pPr>
            <w:r>
              <w:rPr>
                <w:color w:val="auto"/>
                <w:sz w:val="21"/>
                <w:highlight w:val="none"/>
              </w:rPr>
              <w:t>1</w:t>
            </w:r>
          </w:p>
        </w:tc>
      </w:tr>
      <w:tr w14:paraId="7D25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04BF22E7">
            <w:pPr>
              <w:jc w:val="center"/>
              <w:rPr>
                <w:color w:val="auto"/>
                <w:highlight w:val="none"/>
              </w:rPr>
            </w:pPr>
          </w:p>
        </w:tc>
        <w:tc>
          <w:tcPr>
            <w:tcW w:w="490" w:type="pct"/>
            <w:vMerge w:val="continue"/>
            <w:tcBorders>
              <w:tl2br w:val="nil"/>
              <w:tr2bl w:val="nil"/>
            </w:tcBorders>
            <w:vAlign w:val="center"/>
          </w:tcPr>
          <w:p w14:paraId="2E82EAD3">
            <w:pPr>
              <w:jc w:val="center"/>
              <w:rPr>
                <w:color w:val="auto"/>
                <w:highlight w:val="none"/>
              </w:rPr>
            </w:pPr>
          </w:p>
        </w:tc>
        <w:tc>
          <w:tcPr>
            <w:tcW w:w="379" w:type="pct"/>
            <w:tcBorders>
              <w:tl2br w:val="nil"/>
              <w:tr2bl w:val="nil"/>
            </w:tcBorders>
            <w:tcMar>
              <w:top w:w="0" w:type="dxa"/>
              <w:left w:w="105" w:type="dxa"/>
              <w:bottom w:w="0" w:type="dxa"/>
              <w:right w:w="105" w:type="dxa"/>
            </w:tcMar>
            <w:vAlign w:val="center"/>
          </w:tcPr>
          <w:p w14:paraId="1C11C382">
            <w:pPr>
              <w:pStyle w:val="5"/>
              <w:jc w:val="center"/>
              <w:rPr>
                <w:color w:val="auto"/>
                <w:highlight w:val="none"/>
              </w:rPr>
            </w:pPr>
            <w:r>
              <w:rPr>
                <w:color w:val="auto"/>
                <w:sz w:val="21"/>
                <w:highlight w:val="none"/>
              </w:rPr>
              <w:t>3</w:t>
            </w:r>
          </w:p>
        </w:tc>
        <w:tc>
          <w:tcPr>
            <w:tcW w:w="2860" w:type="pct"/>
            <w:tcBorders>
              <w:tl2br w:val="nil"/>
              <w:tr2bl w:val="nil"/>
            </w:tcBorders>
            <w:tcMar>
              <w:top w:w="0" w:type="dxa"/>
              <w:left w:w="105" w:type="dxa"/>
              <w:bottom w:w="0" w:type="dxa"/>
              <w:right w:w="105" w:type="dxa"/>
            </w:tcMar>
            <w:vAlign w:val="center"/>
          </w:tcPr>
          <w:p w14:paraId="16947DA1">
            <w:pPr>
              <w:pStyle w:val="5"/>
              <w:jc w:val="left"/>
              <w:rPr>
                <w:color w:val="auto"/>
                <w:highlight w:val="none"/>
              </w:rPr>
            </w:pPr>
            <w:r>
              <w:rPr>
                <w:color w:val="auto"/>
                <w:sz w:val="21"/>
                <w:highlight w:val="none"/>
              </w:rPr>
              <w:t>4.灭蝇效果达标，未达要求的，检出率每超1%</w:t>
            </w:r>
          </w:p>
        </w:tc>
        <w:tc>
          <w:tcPr>
            <w:tcW w:w="477" w:type="pct"/>
            <w:tcBorders>
              <w:tl2br w:val="nil"/>
              <w:tr2bl w:val="nil"/>
            </w:tcBorders>
            <w:tcMar>
              <w:top w:w="0" w:type="dxa"/>
              <w:left w:w="105" w:type="dxa"/>
              <w:bottom w:w="0" w:type="dxa"/>
              <w:right w:w="105" w:type="dxa"/>
            </w:tcMar>
            <w:vAlign w:val="center"/>
          </w:tcPr>
          <w:p w14:paraId="4822CFBF">
            <w:pPr>
              <w:pStyle w:val="5"/>
              <w:jc w:val="center"/>
              <w:rPr>
                <w:color w:val="auto"/>
                <w:highlight w:val="none"/>
              </w:rPr>
            </w:pPr>
            <w:r>
              <w:rPr>
                <w:color w:val="auto"/>
                <w:sz w:val="21"/>
                <w:highlight w:val="none"/>
              </w:rPr>
              <w:t>0.2</w:t>
            </w:r>
          </w:p>
        </w:tc>
        <w:tc>
          <w:tcPr>
            <w:tcW w:w="421" w:type="pct"/>
            <w:tcBorders>
              <w:tl2br w:val="nil"/>
              <w:tr2bl w:val="nil"/>
            </w:tcBorders>
            <w:tcMar>
              <w:top w:w="0" w:type="dxa"/>
              <w:left w:w="105" w:type="dxa"/>
              <w:bottom w:w="0" w:type="dxa"/>
              <w:right w:w="105" w:type="dxa"/>
            </w:tcMar>
            <w:vAlign w:val="center"/>
          </w:tcPr>
          <w:p w14:paraId="04C1AC8C">
            <w:pPr>
              <w:pStyle w:val="5"/>
              <w:jc w:val="center"/>
              <w:rPr>
                <w:color w:val="auto"/>
                <w:highlight w:val="none"/>
              </w:rPr>
            </w:pPr>
            <w:r>
              <w:rPr>
                <w:color w:val="auto"/>
                <w:sz w:val="21"/>
                <w:highlight w:val="none"/>
              </w:rPr>
              <w:t>1</w:t>
            </w:r>
          </w:p>
        </w:tc>
      </w:tr>
      <w:tr w14:paraId="04DA9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pct"/>
            <w:vMerge w:val="continue"/>
            <w:tcBorders>
              <w:tl2br w:val="nil"/>
              <w:tr2bl w:val="nil"/>
            </w:tcBorders>
            <w:vAlign w:val="center"/>
          </w:tcPr>
          <w:p w14:paraId="76FA0490">
            <w:pPr>
              <w:jc w:val="center"/>
              <w:rPr>
                <w:color w:val="auto"/>
                <w:highlight w:val="none"/>
              </w:rPr>
            </w:pPr>
          </w:p>
        </w:tc>
        <w:tc>
          <w:tcPr>
            <w:tcW w:w="490" w:type="pct"/>
            <w:tcBorders>
              <w:tl2br w:val="nil"/>
              <w:tr2bl w:val="nil"/>
            </w:tcBorders>
            <w:tcMar>
              <w:top w:w="0" w:type="dxa"/>
              <w:left w:w="105" w:type="dxa"/>
              <w:bottom w:w="0" w:type="dxa"/>
              <w:right w:w="105" w:type="dxa"/>
            </w:tcMar>
            <w:vAlign w:val="center"/>
          </w:tcPr>
          <w:p w14:paraId="48681F15">
            <w:pPr>
              <w:pStyle w:val="5"/>
              <w:jc w:val="center"/>
              <w:rPr>
                <w:color w:val="auto"/>
                <w:highlight w:val="none"/>
              </w:rPr>
            </w:pPr>
            <w:r>
              <w:rPr>
                <w:color w:val="auto"/>
                <w:sz w:val="21"/>
                <w:highlight w:val="none"/>
              </w:rPr>
              <w:t>灭蟑（7分）</w:t>
            </w:r>
          </w:p>
        </w:tc>
        <w:tc>
          <w:tcPr>
            <w:tcW w:w="379" w:type="pct"/>
            <w:tcBorders>
              <w:tl2br w:val="nil"/>
              <w:tr2bl w:val="nil"/>
            </w:tcBorders>
            <w:tcMar>
              <w:top w:w="0" w:type="dxa"/>
              <w:left w:w="105" w:type="dxa"/>
              <w:bottom w:w="0" w:type="dxa"/>
              <w:right w:w="105" w:type="dxa"/>
            </w:tcMar>
            <w:vAlign w:val="center"/>
          </w:tcPr>
          <w:p w14:paraId="7927CA52">
            <w:pPr>
              <w:pStyle w:val="5"/>
              <w:jc w:val="center"/>
              <w:rPr>
                <w:color w:val="auto"/>
                <w:highlight w:val="none"/>
              </w:rPr>
            </w:pPr>
            <w:r>
              <w:rPr>
                <w:color w:val="auto"/>
                <w:sz w:val="21"/>
                <w:highlight w:val="none"/>
              </w:rPr>
              <w:t>7</w:t>
            </w:r>
          </w:p>
        </w:tc>
        <w:tc>
          <w:tcPr>
            <w:tcW w:w="2860" w:type="pct"/>
            <w:tcBorders>
              <w:tl2br w:val="nil"/>
              <w:tr2bl w:val="nil"/>
            </w:tcBorders>
            <w:tcMar>
              <w:top w:w="0" w:type="dxa"/>
              <w:left w:w="105" w:type="dxa"/>
              <w:bottom w:w="0" w:type="dxa"/>
              <w:right w:w="105" w:type="dxa"/>
            </w:tcMar>
            <w:vAlign w:val="center"/>
          </w:tcPr>
          <w:p w14:paraId="278DFB75">
            <w:pPr>
              <w:pStyle w:val="5"/>
              <w:jc w:val="left"/>
              <w:rPr>
                <w:color w:val="auto"/>
                <w:highlight w:val="none"/>
              </w:rPr>
            </w:pPr>
            <w:r>
              <w:rPr>
                <w:color w:val="auto"/>
                <w:sz w:val="21"/>
                <w:highlight w:val="none"/>
              </w:rPr>
              <w:t>1.下水道、化粪池、户外堆积物平均每100个井口（处），有蟑螂不超过60只，每超出10只</w:t>
            </w:r>
          </w:p>
        </w:tc>
        <w:tc>
          <w:tcPr>
            <w:tcW w:w="477" w:type="pct"/>
            <w:tcBorders>
              <w:tl2br w:val="nil"/>
              <w:tr2bl w:val="nil"/>
            </w:tcBorders>
            <w:tcMar>
              <w:top w:w="0" w:type="dxa"/>
              <w:left w:w="105" w:type="dxa"/>
              <w:bottom w:w="0" w:type="dxa"/>
              <w:right w:w="105" w:type="dxa"/>
            </w:tcMar>
            <w:vAlign w:val="center"/>
          </w:tcPr>
          <w:p w14:paraId="2E9DFC47">
            <w:pPr>
              <w:pStyle w:val="5"/>
              <w:jc w:val="center"/>
              <w:rPr>
                <w:color w:val="auto"/>
                <w:highlight w:val="none"/>
              </w:rPr>
            </w:pPr>
            <w:r>
              <w:rPr>
                <w:color w:val="auto"/>
                <w:sz w:val="21"/>
                <w:highlight w:val="none"/>
              </w:rPr>
              <w:t>1</w:t>
            </w:r>
          </w:p>
        </w:tc>
        <w:tc>
          <w:tcPr>
            <w:tcW w:w="421" w:type="pct"/>
            <w:tcBorders>
              <w:tl2br w:val="nil"/>
              <w:tr2bl w:val="nil"/>
            </w:tcBorders>
            <w:tcMar>
              <w:top w:w="0" w:type="dxa"/>
              <w:left w:w="105" w:type="dxa"/>
              <w:bottom w:w="0" w:type="dxa"/>
              <w:right w:w="105" w:type="dxa"/>
            </w:tcMar>
            <w:vAlign w:val="center"/>
          </w:tcPr>
          <w:p w14:paraId="3E618220">
            <w:pPr>
              <w:pStyle w:val="5"/>
              <w:jc w:val="center"/>
              <w:rPr>
                <w:color w:val="auto"/>
                <w:highlight w:val="none"/>
              </w:rPr>
            </w:pPr>
            <w:r>
              <w:rPr>
                <w:color w:val="auto"/>
                <w:sz w:val="21"/>
                <w:highlight w:val="none"/>
              </w:rPr>
              <w:t>1</w:t>
            </w:r>
          </w:p>
        </w:tc>
      </w:tr>
      <w:tr w14:paraId="5516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l2br w:val="nil"/>
              <w:tr2bl w:val="nil"/>
            </w:tcBorders>
            <w:tcMar>
              <w:top w:w="0" w:type="dxa"/>
              <w:left w:w="105" w:type="dxa"/>
              <w:bottom w:w="0" w:type="dxa"/>
              <w:right w:w="105" w:type="dxa"/>
            </w:tcMar>
            <w:vAlign w:val="top"/>
          </w:tcPr>
          <w:p w14:paraId="62BD56B9">
            <w:pPr>
              <w:pStyle w:val="5"/>
              <w:jc w:val="both"/>
              <w:rPr>
                <w:b w:val="0"/>
                <w:bCs/>
                <w:color w:val="auto"/>
                <w:highlight w:val="none"/>
              </w:rPr>
            </w:pPr>
            <w:r>
              <w:rPr>
                <w:b w:val="0"/>
                <w:bCs/>
                <w:color w:val="auto"/>
                <w:sz w:val="21"/>
                <w:highlight w:val="none"/>
              </w:rPr>
              <w:t>注：</w:t>
            </w:r>
          </w:p>
          <w:p w14:paraId="4941EB3D">
            <w:pPr>
              <w:pStyle w:val="5"/>
              <w:jc w:val="both"/>
              <w:rPr>
                <w:b w:val="0"/>
                <w:bCs/>
                <w:color w:val="auto"/>
                <w:highlight w:val="none"/>
              </w:rPr>
            </w:pPr>
            <w:r>
              <w:rPr>
                <w:b w:val="0"/>
                <w:bCs/>
                <w:color w:val="auto"/>
                <w:sz w:val="21"/>
                <w:highlight w:val="none"/>
              </w:rPr>
              <w:t>1.检查方式中，1代表现场检查，2代表查阅历史资料；</w:t>
            </w:r>
          </w:p>
          <w:p w14:paraId="485EE42D">
            <w:pPr>
              <w:pStyle w:val="5"/>
              <w:jc w:val="both"/>
              <w:rPr>
                <w:b w:val="0"/>
                <w:bCs/>
                <w:color w:val="auto"/>
                <w:highlight w:val="none"/>
              </w:rPr>
            </w:pPr>
            <w:r>
              <w:rPr>
                <w:b w:val="0"/>
                <w:bCs/>
                <w:color w:val="auto"/>
                <w:sz w:val="21"/>
                <w:highlight w:val="none"/>
              </w:rPr>
              <w:t>2.考核总分按100分计算，由采购人进行考核评分。</w:t>
            </w:r>
            <w:r>
              <w:rPr>
                <w:rFonts w:hint="eastAsia"/>
                <w:b w:val="0"/>
                <w:bCs/>
                <w:color w:val="auto"/>
                <w:sz w:val="21"/>
                <w:highlight w:val="none"/>
                <w:lang w:eastAsia="zh-CN"/>
              </w:rPr>
              <w:t>中标供应商</w:t>
            </w:r>
            <w:r>
              <w:rPr>
                <w:b w:val="0"/>
                <w:bCs/>
                <w:color w:val="auto"/>
                <w:sz w:val="21"/>
                <w:highlight w:val="none"/>
              </w:rPr>
              <w:t>按当季度评分向采购人提出核拨服务费，每季度抽查1次。分值为95分（含95分）以上，不扣</w:t>
            </w:r>
            <w:r>
              <w:rPr>
                <w:rFonts w:hint="eastAsia"/>
                <w:b w:val="0"/>
                <w:bCs/>
                <w:color w:val="auto"/>
                <w:sz w:val="21"/>
                <w:highlight w:val="none"/>
                <w:lang w:eastAsia="zh-CN"/>
              </w:rPr>
              <w:t>中标供应商</w:t>
            </w:r>
            <w:r>
              <w:rPr>
                <w:b w:val="0"/>
                <w:bCs/>
                <w:color w:val="auto"/>
                <w:sz w:val="21"/>
                <w:highlight w:val="none"/>
              </w:rPr>
              <w:t>当季度服务费，分值为95分以下，每扣一分扣除当季度服务费的1%；年度内累计两次90分（含90分）以下或一次80分（含80分）以下，采购人有权单方面终止服务合同，不作任何补偿。</w:t>
            </w:r>
          </w:p>
          <w:p w14:paraId="71109B34">
            <w:pPr>
              <w:pStyle w:val="5"/>
              <w:jc w:val="both"/>
              <w:rPr>
                <w:b w:val="0"/>
                <w:bCs/>
                <w:color w:val="auto"/>
                <w:highlight w:val="none"/>
              </w:rPr>
            </w:pPr>
            <w:r>
              <w:rPr>
                <w:b w:val="0"/>
                <w:bCs/>
                <w:color w:val="auto"/>
                <w:sz w:val="21"/>
                <w:highlight w:val="none"/>
              </w:rPr>
              <w:t>3.上级对我镇病媒生物防制效果考核不达标的（含年度专项考核、国家卫生镇复审等），将处罚人民币5万元/次。</w:t>
            </w:r>
          </w:p>
          <w:p w14:paraId="2F44B29E">
            <w:pPr>
              <w:pStyle w:val="5"/>
              <w:jc w:val="both"/>
              <w:rPr>
                <w:b w:val="0"/>
                <w:bCs/>
                <w:color w:val="auto"/>
                <w:highlight w:val="none"/>
              </w:rPr>
            </w:pPr>
            <w:r>
              <w:rPr>
                <w:b w:val="0"/>
                <w:bCs/>
                <w:color w:val="auto"/>
                <w:sz w:val="21"/>
                <w:highlight w:val="none"/>
              </w:rPr>
              <w:t>4.其他按</w:t>
            </w:r>
            <w:r>
              <w:rPr>
                <w:rFonts w:hint="eastAsia"/>
                <w:b w:val="0"/>
                <w:bCs/>
                <w:color w:val="auto"/>
                <w:sz w:val="21"/>
                <w:highlight w:val="none"/>
                <w:lang w:val="en-US" w:eastAsia="zh-CN"/>
              </w:rPr>
              <w:t>中标</w:t>
            </w:r>
            <w:r>
              <w:rPr>
                <w:b w:val="0"/>
                <w:bCs/>
                <w:color w:val="auto"/>
                <w:sz w:val="21"/>
                <w:highlight w:val="none"/>
              </w:rPr>
              <w:t>后双方签订的合同考核内容要求。</w:t>
            </w:r>
          </w:p>
          <w:p w14:paraId="2AB90D5C">
            <w:pPr>
              <w:pStyle w:val="5"/>
              <w:jc w:val="both"/>
              <w:rPr>
                <w:color w:val="auto"/>
                <w:highlight w:val="none"/>
              </w:rPr>
            </w:pPr>
            <w:r>
              <w:rPr>
                <w:b w:val="0"/>
                <w:bCs/>
                <w:color w:val="auto"/>
                <w:sz w:val="21"/>
                <w:highlight w:val="none"/>
              </w:rPr>
              <w:t>5.供应商累计扣罚金额达人民币5万元或以上的，采购人可单方面终止合同，不再对</w:t>
            </w:r>
            <w:r>
              <w:rPr>
                <w:rFonts w:hint="eastAsia"/>
                <w:b w:val="0"/>
                <w:bCs/>
                <w:color w:val="auto"/>
                <w:sz w:val="21"/>
                <w:highlight w:val="none"/>
                <w:lang w:eastAsia="zh-CN"/>
              </w:rPr>
              <w:t>中标供应商</w:t>
            </w:r>
            <w:r>
              <w:rPr>
                <w:b w:val="0"/>
                <w:bCs/>
                <w:color w:val="auto"/>
                <w:sz w:val="21"/>
                <w:highlight w:val="none"/>
              </w:rPr>
              <w:t>作出任何赔偿。</w:t>
            </w:r>
          </w:p>
        </w:tc>
      </w:tr>
    </w:tbl>
    <w:p w14:paraId="0FE8C5E3">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采购包1（</w:t>
      </w:r>
      <w:r>
        <w:rPr>
          <w:rFonts w:hint="eastAsia" w:ascii="宋体" w:hAnsi="宋体" w:eastAsia="宋体" w:cs="宋体"/>
          <w:b/>
          <w:bCs/>
          <w:color w:val="auto"/>
          <w:sz w:val="21"/>
          <w:szCs w:val="21"/>
          <w:highlight w:val="none"/>
          <w:lang w:eastAsia="zh-CN"/>
        </w:rPr>
        <w:t xml:space="preserve">2026-2027年度小榄镇公共环境病媒生物防制服务项目 </w:t>
      </w:r>
      <w:r>
        <w:rPr>
          <w:rFonts w:hint="eastAsia" w:ascii="宋体" w:hAnsi="宋体" w:eastAsia="宋体" w:cs="宋体"/>
          <w:b/>
          <w:bCs/>
          <w:color w:val="auto"/>
          <w:sz w:val="21"/>
          <w:szCs w:val="21"/>
          <w:highlight w:val="none"/>
        </w:rPr>
        <w:t>）</w:t>
      </w:r>
    </w:p>
    <w:p w14:paraId="3A688E1A">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1.主要商务要求</w:t>
      </w:r>
    </w:p>
    <w:tbl>
      <w:tblPr>
        <w:tblStyle w:val="3"/>
        <w:tblW w:w="5000" w:type="pct"/>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957"/>
        <w:gridCol w:w="8725"/>
      </w:tblGrid>
      <w:tr w14:paraId="3E6F2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916" w:type="pct"/>
            <w:vAlign w:val="center"/>
          </w:tcPr>
          <w:p w14:paraId="5B6F9F31">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标的提供的时间</w:t>
            </w:r>
          </w:p>
        </w:tc>
        <w:tc>
          <w:tcPr>
            <w:tcW w:w="4083" w:type="pct"/>
            <w:vAlign w:val="top"/>
          </w:tcPr>
          <w:p w14:paraId="46C9EA37">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合同签订之日起1年</w:t>
            </w:r>
          </w:p>
        </w:tc>
      </w:tr>
      <w:tr w14:paraId="5FF23D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916" w:type="pct"/>
            <w:vAlign w:val="center"/>
          </w:tcPr>
          <w:p w14:paraId="26C3E2BE">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标的提供的地点</w:t>
            </w:r>
          </w:p>
        </w:tc>
        <w:tc>
          <w:tcPr>
            <w:tcW w:w="4083" w:type="pct"/>
            <w:vAlign w:val="top"/>
          </w:tcPr>
          <w:p w14:paraId="49A66DA8">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采购人指定的地点</w:t>
            </w:r>
          </w:p>
        </w:tc>
      </w:tr>
      <w:tr w14:paraId="662AC2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916" w:type="pct"/>
            <w:vAlign w:val="center"/>
          </w:tcPr>
          <w:p w14:paraId="2D910D75">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c>
          <w:tcPr>
            <w:tcW w:w="4083" w:type="pct"/>
            <w:shd w:val="clear" w:color="auto" w:fill="auto"/>
            <w:vAlign w:val="top"/>
          </w:tcPr>
          <w:p w14:paraId="2FE630A7">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第1期为(进度款)：支付比例100%，</w:t>
            </w:r>
          </w:p>
          <w:p w14:paraId="0BAFDE01">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Hans"/>
              </w:rPr>
              <w:t>1.</w:t>
            </w:r>
            <w:r>
              <w:rPr>
                <w:rFonts w:hint="eastAsia" w:ascii="宋体" w:hAnsi="宋体" w:eastAsia="宋体" w:cs="宋体"/>
                <w:color w:val="auto"/>
                <w:sz w:val="21"/>
                <w:szCs w:val="21"/>
                <w:highlight w:val="none"/>
              </w:rPr>
              <w:t>本项目不设预付款。</w:t>
            </w:r>
          </w:p>
          <w:p w14:paraId="5D94BBC4">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Hans"/>
              </w:rPr>
              <w:t>2.</w:t>
            </w:r>
            <w:r>
              <w:rPr>
                <w:rFonts w:hint="eastAsia" w:ascii="宋体" w:hAnsi="宋体" w:eastAsia="宋体" w:cs="宋体"/>
                <w:color w:val="auto"/>
                <w:sz w:val="21"/>
                <w:szCs w:val="21"/>
                <w:highlight w:val="none"/>
              </w:rPr>
              <w:t>本项目分四期支付，每期为一个季度，每个季度结算一次。采用下季度支付上季度方式进行支付，采购人在收到有效发票之日起30个日历天内一次性支付</w:t>
            </w:r>
            <w:r>
              <w:rPr>
                <w:rFonts w:hint="eastAsia" w:ascii="宋体" w:hAnsi="宋体" w:eastAsia="宋体" w:cs="宋体"/>
                <w:color w:val="auto"/>
                <w:sz w:val="21"/>
                <w:szCs w:val="21"/>
                <w:highlight w:val="none"/>
                <w:lang w:eastAsia="zh-CN"/>
              </w:rPr>
              <w:t>中标供应商</w:t>
            </w:r>
            <w:r>
              <w:rPr>
                <w:rFonts w:hint="eastAsia" w:ascii="宋体" w:hAnsi="宋体" w:eastAsia="宋体" w:cs="宋体"/>
                <w:color w:val="auto"/>
                <w:sz w:val="21"/>
                <w:szCs w:val="21"/>
                <w:highlight w:val="none"/>
              </w:rPr>
              <w:t>当次申请的服务费。</w:t>
            </w:r>
            <w:r>
              <w:rPr>
                <w:rFonts w:hint="eastAsia" w:ascii="宋体" w:hAnsi="宋体" w:eastAsia="宋体" w:cs="宋体"/>
                <w:color w:val="auto"/>
                <w:sz w:val="21"/>
                <w:szCs w:val="21"/>
                <w:highlight w:val="none"/>
                <w:lang w:eastAsia="zh-CN"/>
              </w:rPr>
              <w:t>中标供应商</w:t>
            </w:r>
            <w:r>
              <w:rPr>
                <w:rFonts w:hint="eastAsia" w:ascii="宋体" w:hAnsi="宋体" w:eastAsia="宋体" w:cs="宋体"/>
                <w:color w:val="auto"/>
                <w:sz w:val="21"/>
                <w:szCs w:val="21"/>
                <w:highlight w:val="none"/>
              </w:rPr>
              <w:t>在向采购人申请支付合同款项时，应先按付款数额向采购人开具符合国家法律法规和标准的税务发票，采购人收到合格发票后予以支付相应款项。未按时开具有效发票导致延迟支付的由</w:t>
            </w:r>
            <w:r>
              <w:rPr>
                <w:rFonts w:hint="eastAsia" w:ascii="宋体" w:hAnsi="宋体" w:eastAsia="宋体" w:cs="宋体"/>
                <w:color w:val="auto"/>
                <w:sz w:val="21"/>
                <w:szCs w:val="21"/>
                <w:highlight w:val="none"/>
                <w:lang w:eastAsia="zh-CN"/>
              </w:rPr>
              <w:t>中标供应商</w:t>
            </w:r>
            <w:r>
              <w:rPr>
                <w:rFonts w:hint="eastAsia" w:ascii="宋体" w:hAnsi="宋体" w:eastAsia="宋体" w:cs="宋体"/>
                <w:color w:val="auto"/>
                <w:sz w:val="21"/>
                <w:szCs w:val="21"/>
                <w:highlight w:val="none"/>
              </w:rPr>
              <w:t xml:space="preserve">自行承担。 </w:t>
            </w:r>
          </w:p>
          <w:p w14:paraId="16A94C9F">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Hans"/>
              </w:rPr>
              <w:t>3.</w:t>
            </w:r>
            <w:r>
              <w:rPr>
                <w:rFonts w:hint="eastAsia" w:ascii="宋体" w:hAnsi="宋体" w:eastAsia="宋体" w:cs="宋体"/>
                <w:color w:val="auto"/>
                <w:sz w:val="21"/>
                <w:szCs w:val="21"/>
                <w:highlight w:val="none"/>
              </w:rPr>
              <w:t>如有按规定扣罚的款项，</w:t>
            </w:r>
            <w:r>
              <w:rPr>
                <w:rFonts w:hint="eastAsia" w:ascii="宋体" w:hAnsi="宋体" w:eastAsia="宋体" w:cs="宋体"/>
                <w:color w:val="auto"/>
                <w:sz w:val="21"/>
                <w:szCs w:val="21"/>
                <w:highlight w:val="none"/>
                <w:lang w:eastAsia="zh-CN"/>
              </w:rPr>
              <w:t>中标供应商</w:t>
            </w:r>
            <w:r>
              <w:rPr>
                <w:rFonts w:hint="eastAsia" w:ascii="宋体" w:hAnsi="宋体" w:eastAsia="宋体" w:cs="宋体"/>
                <w:color w:val="auto"/>
                <w:sz w:val="21"/>
                <w:szCs w:val="21"/>
                <w:highlight w:val="none"/>
              </w:rPr>
              <w:t>应按采购人要求缴纳处罚金，方可申请当季的服务费用。</w:t>
            </w:r>
          </w:p>
          <w:p w14:paraId="65DCE823">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Hans"/>
              </w:rPr>
              <w:t>4.</w:t>
            </w:r>
            <w:r>
              <w:rPr>
                <w:rFonts w:hint="eastAsia" w:ascii="宋体" w:hAnsi="宋体" w:eastAsia="宋体" w:cs="宋体"/>
                <w:color w:val="auto"/>
                <w:sz w:val="21"/>
                <w:szCs w:val="21"/>
                <w:highlight w:val="none"/>
              </w:rPr>
              <w:t xml:space="preserve">付款形式：银行转账。 </w:t>
            </w:r>
          </w:p>
          <w:p w14:paraId="5D4ADDD9">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5.如中标供应商为中小企业的，则按照中小企业相关规定执行。</w:t>
            </w:r>
          </w:p>
          <w:p w14:paraId="2435F6E6">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注：因所有款项均由镇财政拨款，需政府审批同意后支付。拨款未能及时到位，中标供应商不得以此为由而不履行（或不完全履行）本合同规定的义务。</w:t>
            </w:r>
          </w:p>
          <w:p w14:paraId="374DC92C">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sz w:val="21"/>
                <w:szCs w:val="21"/>
                <w:highlight w:val="none"/>
                <w:lang w:val="en-US" w:eastAsia="zh-Hans"/>
              </w:rPr>
            </w:pPr>
            <w:r>
              <w:rPr>
                <w:rFonts w:hint="eastAsia" w:ascii="宋体" w:hAnsi="宋体" w:eastAsia="宋体" w:cs="宋体"/>
                <w:color w:val="auto"/>
                <w:sz w:val="21"/>
                <w:szCs w:val="21"/>
                <w:highlight w:val="none"/>
              </w:rPr>
              <w:t>如项目发生合同融资，采购人需将合同款项支付到合同约定收款账户</w:t>
            </w:r>
          </w:p>
        </w:tc>
      </w:tr>
      <w:tr w14:paraId="53F1D7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916" w:type="pct"/>
            <w:vAlign w:val="center"/>
          </w:tcPr>
          <w:p w14:paraId="3EF3A6FA">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验收要求</w:t>
            </w:r>
          </w:p>
        </w:tc>
        <w:tc>
          <w:tcPr>
            <w:tcW w:w="4083" w:type="pct"/>
            <w:vAlign w:val="top"/>
          </w:tcPr>
          <w:p w14:paraId="3DAA15F1">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color w:val="auto"/>
                <w:highlight w:val="none"/>
              </w:rPr>
            </w:pPr>
            <w:r>
              <w:rPr>
                <w:rFonts w:hint="eastAsia" w:ascii="宋体" w:hAnsi="宋体" w:eastAsia="宋体" w:cs="宋体"/>
                <w:color w:val="auto"/>
                <w:sz w:val="21"/>
                <w:szCs w:val="21"/>
                <w:highlight w:val="none"/>
              </w:rPr>
              <w:t>1期：采购人与</w:t>
            </w:r>
            <w:r>
              <w:rPr>
                <w:rFonts w:hint="eastAsia" w:ascii="宋体" w:hAnsi="宋体" w:eastAsia="宋体" w:cs="宋体"/>
                <w:color w:val="auto"/>
                <w:sz w:val="21"/>
                <w:szCs w:val="21"/>
                <w:highlight w:val="none"/>
                <w:lang w:eastAsia="zh-CN"/>
              </w:rPr>
              <w:t>中标供应商</w:t>
            </w:r>
            <w:r>
              <w:rPr>
                <w:rFonts w:hint="eastAsia" w:ascii="宋体" w:hAnsi="宋体" w:eastAsia="宋体" w:cs="宋体"/>
                <w:color w:val="auto"/>
                <w:sz w:val="21"/>
                <w:szCs w:val="21"/>
                <w:highlight w:val="none"/>
              </w:rPr>
              <w:t>将依据</w:t>
            </w:r>
            <w:r>
              <w:rPr>
                <w:rFonts w:hint="eastAsia" w:ascii="宋体" w:hAnsi="宋体" w:eastAsia="宋体" w:cs="宋体"/>
                <w:color w:val="auto"/>
                <w:sz w:val="21"/>
                <w:szCs w:val="21"/>
                <w:highlight w:val="none"/>
                <w:lang w:eastAsia="zh-CN"/>
              </w:rPr>
              <w:t>招标文件</w:t>
            </w:r>
            <w:r>
              <w:rPr>
                <w:rFonts w:hint="eastAsia" w:ascii="宋体" w:hAnsi="宋体" w:eastAsia="宋体" w:cs="宋体"/>
                <w:color w:val="auto"/>
                <w:sz w:val="21"/>
                <w:szCs w:val="21"/>
                <w:highlight w:val="none"/>
              </w:rPr>
              <w:t>要求和</w:t>
            </w:r>
            <w:r>
              <w:rPr>
                <w:rFonts w:hint="eastAsia" w:ascii="宋体" w:hAnsi="宋体" w:eastAsia="宋体" w:cs="宋体"/>
                <w:color w:val="auto"/>
                <w:sz w:val="21"/>
                <w:szCs w:val="21"/>
                <w:highlight w:val="none"/>
                <w:lang w:eastAsia="zh-CN"/>
              </w:rPr>
              <w:t>投标文件</w:t>
            </w:r>
            <w:r>
              <w:rPr>
                <w:rFonts w:hint="eastAsia" w:ascii="宋体" w:hAnsi="宋体" w:eastAsia="宋体" w:cs="宋体"/>
                <w:color w:val="auto"/>
                <w:sz w:val="21"/>
                <w:szCs w:val="21"/>
                <w:highlight w:val="none"/>
              </w:rPr>
              <w:t>承诺对本项目进行验收。</w:t>
            </w:r>
          </w:p>
        </w:tc>
      </w:tr>
      <w:tr w14:paraId="01A307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916" w:type="pct"/>
            <w:vAlign w:val="center"/>
          </w:tcPr>
          <w:p w14:paraId="54A6F5CB">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履约保证金</w:t>
            </w:r>
          </w:p>
        </w:tc>
        <w:tc>
          <w:tcPr>
            <w:tcW w:w="4083" w:type="pct"/>
            <w:vAlign w:val="top"/>
          </w:tcPr>
          <w:p w14:paraId="2B3F246D">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不收取</w:t>
            </w:r>
          </w:p>
        </w:tc>
      </w:tr>
      <w:tr w14:paraId="596601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916" w:type="pct"/>
            <w:vAlign w:val="center"/>
          </w:tcPr>
          <w:p w14:paraId="2E4839A8">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w:t>
            </w:r>
          </w:p>
        </w:tc>
        <w:tc>
          <w:tcPr>
            <w:tcW w:w="4083" w:type="pct"/>
            <w:vAlign w:val="top"/>
          </w:tcPr>
          <w:p w14:paraId="606B4B0C">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其他，供应商在</w:t>
            </w:r>
            <w:r>
              <w:rPr>
                <w:rFonts w:hint="eastAsia" w:ascii="宋体" w:hAnsi="宋体" w:eastAsia="宋体" w:cs="宋体"/>
                <w:color w:val="auto"/>
                <w:sz w:val="21"/>
                <w:szCs w:val="21"/>
                <w:highlight w:val="none"/>
                <w:lang w:eastAsia="zh-CN"/>
              </w:rPr>
              <w:t>投标文件</w:t>
            </w:r>
            <w:r>
              <w:rPr>
                <w:rFonts w:hint="eastAsia" w:ascii="宋体" w:hAnsi="宋体" w:eastAsia="宋体" w:cs="宋体"/>
                <w:color w:val="auto"/>
                <w:sz w:val="21"/>
                <w:szCs w:val="21"/>
                <w:highlight w:val="none"/>
              </w:rPr>
              <w:t>中可列明在项目实施过程中要求采购人提供的配合条件，所列配合条件采购人将尽量配合解决，但不代表采购人全部接受，采购人有权全部或部分拒绝供应商提出的配合条件。</w:t>
            </w:r>
          </w:p>
        </w:tc>
      </w:tr>
    </w:tbl>
    <w:p w14:paraId="019EE4E0">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2.技术标准与要求</w:t>
      </w:r>
    </w:p>
    <w:tbl>
      <w:tblPr>
        <w:tblStyle w:val="3"/>
        <w:tblW w:w="5000" w:type="pct"/>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60"/>
        <w:gridCol w:w="904"/>
        <w:gridCol w:w="2390"/>
        <w:gridCol w:w="562"/>
        <w:gridCol w:w="744"/>
        <w:gridCol w:w="1607"/>
        <w:gridCol w:w="1607"/>
        <w:gridCol w:w="1300"/>
        <w:gridCol w:w="1008"/>
      </w:tblGrid>
      <w:tr w14:paraId="72E9F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62" w:type="pct"/>
            <w:vAlign w:val="center"/>
          </w:tcPr>
          <w:p w14:paraId="7E54B37E">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23" w:type="pct"/>
            <w:vAlign w:val="center"/>
          </w:tcPr>
          <w:p w14:paraId="75ADCE8A">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品目名称</w:t>
            </w:r>
          </w:p>
        </w:tc>
        <w:tc>
          <w:tcPr>
            <w:tcW w:w="1118" w:type="pct"/>
            <w:vAlign w:val="center"/>
          </w:tcPr>
          <w:p w14:paraId="2953DCF6">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标的名称</w:t>
            </w:r>
          </w:p>
        </w:tc>
        <w:tc>
          <w:tcPr>
            <w:tcW w:w="263" w:type="pct"/>
            <w:vAlign w:val="center"/>
          </w:tcPr>
          <w:p w14:paraId="545588B3">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348" w:type="pct"/>
            <w:vAlign w:val="center"/>
          </w:tcPr>
          <w:p w14:paraId="1BCD00BB">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752" w:type="pct"/>
            <w:vAlign w:val="center"/>
          </w:tcPr>
          <w:p w14:paraId="1BB71A5E">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分项预算单价（元）</w:t>
            </w:r>
          </w:p>
        </w:tc>
        <w:tc>
          <w:tcPr>
            <w:tcW w:w="752" w:type="pct"/>
            <w:vAlign w:val="center"/>
          </w:tcPr>
          <w:p w14:paraId="68F4B580">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分项预算总价（元）</w:t>
            </w:r>
          </w:p>
        </w:tc>
        <w:tc>
          <w:tcPr>
            <w:tcW w:w="608" w:type="pct"/>
            <w:vAlign w:val="center"/>
          </w:tcPr>
          <w:p w14:paraId="6571A06C">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所属行业</w:t>
            </w:r>
          </w:p>
        </w:tc>
        <w:tc>
          <w:tcPr>
            <w:tcW w:w="471" w:type="pct"/>
            <w:vAlign w:val="center"/>
          </w:tcPr>
          <w:p w14:paraId="14E15131">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技术要求</w:t>
            </w:r>
          </w:p>
        </w:tc>
      </w:tr>
      <w:tr w14:paraId="603CE7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62" w:type="pct"/>
            <w:vAlign w:val="center"/>
          </w:tcPr>
          <w:p w14:paraId="46616EDE">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p>
        </w:tc>
        <w:tc>
          <w:tcPr>
            <w:tcW w:w="423" w:type="pct"/>
            <w:vAlign w:val="center"/>
          </w:tcPr>
          <w:p w14:paraId="64EC59CB">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其他服务</w:t>
            </w:r>
          </w:p>
        </w:tc>
        <w:tc>
          <w:tcPr>
            <w:tcW w:w="1118" w:type="pct"/>
            <w:vAlign w:val="center"/>
          </w:tcPr>
          <w:p w14:paraId="78D1A50D">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 xml:space="preserve">2026-2027年度小榄镇公共环境病媒生物防制服务项目 </w:t>
            </w:r>
          </w:p>
        </w:tc>
        <w:tc>
          <w:tcPr>
            <w:tcW w:w="263" w:type="pct"/>
            <w:vAlign w:val="center"/>
          </w:tcPr>
          <w:p w14:paraId="7FBF7271">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批</w:t>
            </w:r>
          </w:p>
        </w:tc>
        <w:tc>
          <w:tcPr>
            <w:tcW w:w="348" w:type="pct"/>
            <w:vAlign w:val="center"/>
          </w:tcPr>
          <w:p w14:paraId="29F9757A">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1.00</w:t>
            </w:r>
          </w:p>
        </w:tc>
        <w:tc>
          <w:tcPr>
            <w:tcW w:w="752" w:type="pct"/>
            <w:vAlign w:val="center"/>
          </w:tcPr>
          <w:p w14:paraId="7E192D71">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1500000.00</w:t>
            </w:r>
          </w:p>
        </w:tc>
        <w:tc>
          <w:tcPr>
            <w:tcW w:w="752" w:type="pct"/>
            <w:vAlign w:val="center"/>
          </w:tcPr>
          <w:p w14:paraId="4B0409EC">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1500000.00</w:t>
            </w:r>
          </w:p>
        </w:tc>
        <w:tc>
          <w:tcPr>
            <w:tcW w:w="608" w:type="pct"/>
            <w:vAlign w:val="center"/>
          </w:tcPr>
          <w:p w14:paraId="5B49AA69">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其他未列明行业</w:t>
            </w:r>
          </w:p>
        </w:tc>
        <w:tc>
          <w:tcPr>
            <w:tcW w:w="471" w:type="pct"/>
            <w:vAlign w:val="center"/>
          </w:tcPr>
          <w:p w14:paraId="46140902">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详见附表一</w:t>
            </w:r>
          </w:p>
        </w:tc>
      </w:tr>
    </w:tbl>
    <w:p w14:paraId="4509364F">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备注：最终综合总报价=（各产品报价×各项产品权重）的相加值</w:t>
      </w:r>
    </w:p>
    <w:p w14:paraId="4683F12A">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color w:val="auto"/>
          <w:sz w:val="21"/>
          <w:szCs w:val="21"/>
          <w:highlight w:val="none"/>
        </w:rPr>
        <w:t>附表一：</w:t>
      </w:r>
      <w:r>
        <w:rPr>
          <w:rFonts w:hint="eastAsia" w:ascii="宋体" w:hAnsi="宋体" w:eastAsia="宋体" w:cs="宋体"/>
          <w:b/>
          <w:color w:val="auto"/>
          <w:sz w:val="21"/>
          <w:szCs w:val="21"/>
          <w:highlight w:val="none"/>
          <w:lang w:eastAsia="zh-CN"/>
        </w:rPr>
        <w:t xml:space="preserve">2026-2027年度小榄镇公共环境病媒生物防制服务项目 </w:t>
      </w:r>
    </w:p>
    <w:tbl>
      <w:tblPr>
        <w:tblStyle w:val="3"/>
        <w:tblW w:w="4999" w:type="pct"/>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2"/>
        <w:gridCol w:w="699"/>
        <w:gridCol w:w="8789"/>
      </w:tblGrid>
      <w:tr w14:paraId="5BC7D6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558" w:type="pct"/>
            <w:vAlign w:val="center"/>
          </w:tcPr>
          <w:p w14:paraId="4AB6C572">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参数性质</w:t>
            </w:r>
          </w:p>
        </w:tc>
        <w:tc>
          <w:tcPr>
            <w:tcW w:w="327" w:type="pct"/>
            <w:vAlign w:val="center"/>
          </w:tcPr>
          <w:p w14:paraId="367E3727">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114" w:type="pct"/>
            <w:vAlign w:val="center"/>
          </w:tcPr>
          <w:p w14:paraId="18FD27E8">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具体技术(参数)要求</w:t>
            </w:r>
          </w:p>
        </w:tc>
      </w:tr>
      <w:tr w14:paraId="5BC31E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558" w:type="pct"/>
            <w:vAlign w:val="center"/>
          </w:tcPr>
          <w:p w14:paraId="54993153">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327" w:type="pct"/>
            <w:vAlign w:val="center"/>
          </w:tcPr>
          <w:p w14:paraId="17F93C4F">
            <w:pPr>
              <w:pStyle w:val="5"/>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114" w:type="pct"/>
            <w:vAlign w:val="center"/>
          </w:tcPr>
          <w:p w14:paraId="334EF3DC">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default" w:ascii="宋体" w:hAnsi="宋体" w:eastAsia="宋体" w:cs="宋体"/>
                <w:b w:val="0"/>
                <w:bCs w:val="0"/>
                <w:color w:val="auto"/>
                <w:sz w:val="21"/>
                <w:szCs w:val="21"/>
                <w:highlight w:val="none"/>
                <w:lang w:val="en-US" w:eastAsia="zh-CN"/>
              </w:rPr>
            </w:pPr>
            <w:r>
              <w:rPr>
                <w:color w:val="auto"/>
                <w:sz w:val="21"/>
                <w:szCs w:val="21"/>
                <w:highlight w:val="none"/>
              </w:rPr>
              <w:t>详见采购需求</w:t>
            </w:r>
            <w:r>
              <w:rPr>
                <w:rFonts w:hint="eastAsia"/>
                <w:color w:val="auto"/>
                <w:sz w:val="21"/>
                <w:szCs w:val="21"/>
                <w:highlight w:val="none"/>
                <w:lang w:eastAsia="zh-CN"/>
              </w:rPr>
              <w:t>“</w:t>
            </w:r>
            <w:r>
              <w:rPr>
                <w:rFonts w:hint="eastAsia"/>
                <w:color w:val="auto"/>
                <w:sz w:val="21"/>
                <w:szCs w:val="21"/>
                <w:highlight w:val="none"/>
              </w:rPr>
              <w:t>二、项目基本要求</w:t>
            </w:r>
            <w:r>
              <w:rPr>
                <w:rFonts w:hint="eastAsia"/>
                <w:color w:val="auto"/>
                <w:sz w:val="21"/>
                <w:szCs w:val="21"/>
                <w:highlight w:val="none"/>
                <w:lang w:eastAsia="zh-CN"/>
              </w:rPr>
              <w:t>”</w:t>
            </w:r>
          </w:p>
        </w:tc>
      </w:tr>
      <w:tr w14:paraId="4C290A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558" w:type="pct"/>
            <w:vAlign w:val="center"/>
          </w:tcPr>
          <w:p w14:paraId="0726D3AB">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699" w:type="dxa"/>
            <w:vAlign w:val="center"/>
          </w:tcPr>
          <w:p w14:paraId="4DC7A7F6">
            <w:pPr>
              <w:jc w:val="center"/>
              <w:rPr>
                <w:rFonts w:hint="eastAsia" w:ascii="宋体" w:hAnsi="宋体" w:eastAsia="宋体" w:cs="宋体"/>
                <w:color w:val="auto"/>
                <w:sz w:val="21"/>
                <w:szCs w:val="21"/>
                <w:highlight w:val="none"/>
                <w:lang w:val="en-US" w:eastAsia="zh-CN"/>
              </w:rPr>
            </w:pPr>
            <w:r>
              <w:rPr>
                <w:rFonts w:hint="eastAsia"/>
                <w:color w:val="auto"/>
                <w:sz w:val="21"/>
                <w:szCs w:val="21"/>
                <w:highlight w:val="none"/>
                <w:lang w:val="en-US" w:eastAsia="zh-CN"/>
              </w:rPr>
              <w:t>2</w:t>
            </w:r>
          </w:p>
        </w:tc>
        <w:tc>
          <w:tcPr>
            <w:tcW w:w="8789" w:type="dxa"/>
            <w:vAlign w:val="top"/>
          </w:tcPr>
          <w:p w14:paraId="5346253D">
            <w:pPr>
              <w:jc w:val="both"/>
              <w:rPr>
                <w:color w:val="auto"/>
                <w:sz w:val="21"/>
                <w:szCs w:val="21"/>
                <w:highlight w:val="none"/>
              </w:rPr>
            </w:pPr>
            <w:r>
              <w:rPr>
                <w:color w:val="auto"/>
                <w:sz w:val="21"/>
                <w:szCs w:val="21"/>
                <w:highlight w:val="none"/>
              </w:rPr>
              <w:t>供应商应充分了解本项目特点和需求，根据项目的实际情况，为本项目制定实施方案</w:t>
            </w:r>
            <w:r>
              <w:rPr>
                <w:rFonts w:hint="eastAsia"/>
                <w:color w:val="auto"/>
                <w:sz w:val="21"/>
                <w:szCs w:val="21"/>
                <w:highlight w:val="none"/>
                <w:lang w:eastAsia="zh-CN"/>
              </w:rPr>
              <w:t>，</w:t>
            </w:r>
            <w:r>
              <w:rPr>
                <w:color w:val="auto"/>
                <w:sz w:val="21"/>
                <w:szCs w:val="21"/>
                <w:highlight w:val="none"/>
              </w:rPr>
              <w:t>包括但不限于：</w:t>
            </w:r>
          </w:p>
          <w:p w14:paraId="6E9FEA00">
            <w:pPr>
              <w:jc w:val="both"/>
              <w:rPr>
                <w:color w:val="auto"/>
                <w:sz w:val="21"/>
                <w:szCs w:val="21"/>
                <w:highlight w:val="none"/>
              </w:rPr>
            </w:pPr>
            <w:r>
              <w:rPr>
                <w:rFonts w:hint="eastAsia"/>
                <w:color w:val="auto"/>
                <w:sz w:val="21"/>
                <w:szCs w:val="21"/>
                <w:highlight w:val="none"/>
                <w:lang w:val="en-US" w:eastAsia="zh-CN"/>
              </w:rPr>
              <w:t>1</w:t>
            </w:r>
            <w:r>
              <w:rPr>
                <w:color w:val="auto"/>
                <w:sz w:val="21"/>
                <w:szCs w:val="21"/>
                <w:highlight w:val="none"/>
              </w:rPr>
              <w:t>.</w:t>
            </w:r>
            <w:r>
              <w:rPr>
                <w:rFonts w:hint="eastAsia"/>
                <w:color w:val="auto"/>
                <w:sz w:val="21"/>
                <w:szCs w:val="21"/>
                <w:highlight w:val="none"/>
                <w:lang w:val="en-US" w:eastAsia="zh-CN"/>
              </w:rPr>
              <w:t>项目</w:t>
            </w:r>
            <w:r>
              <w:rPr>
                <w:color w:val="auto"/>
                <w:sz w:val="21"/>
                <w:szCs w:val="21"/>
                <w:highlight w:val="none"/>
              </w:rPr>
              <w:t>重点难点</w:t>
            </w:r>
            <w:r>
              <w:rPr>
                <w:rFonts w:hint="eastAsia"/>
                <w:color w:val="auto"/>
                <w:sz w:val="21"/>
                <w:szCs w:val="21"/>
                <w:highlight w:val="none"/>
                <w:lang w:val="en-US" w:eastAsia="zh-CN"/>
              </w:rPr>
              <w:t>分析</w:t>
            </w:r>
            <w:r>
              <w:rPr>
                <w:color w:val="auto"/>
                <w:sz w:val="21"/>
                <w:szCs w:val="21"/>
                <w:highlight w:val="none"/>
              </w:rPr>
              <w:t>；</w:t>
            </w:r>
          </w:p>
          <w:p w14:paraId="5C26F85B">
            <w:pPr>
              <w:jc w:val="both"/>
              <w:rPr>
                <w:color w:val="auto"/>
                <w:sz w:val="21"/>
                <w:szCs w:val="21"/>
                <w:highlight w:val="none"/>
              </w:rPr>
            </w:pPr>
            <w:r>
              <w:rPr>
                <w:rFonts w:hint="eastAsia"/>
                <w:color w:val="auto"/>
                <w:sz w:val="21"/>
                <w:szCs w:val="21"/>
                <w:highlight w:val="none"/>
                <w:lang w:val="en-US" w:eastAsia="zh-CN"/>
              </w:rPr>
              <w:t>2</w:t>
            </w:r>
            <w:r>
              <w:rPr>
                <w:color w:val="auto"/>
                <w:sz w:val="21"/>
                <w:szCs w:val="21"/>
                <w:highlight w:val="none"/>
              </w:rPr>
              <w:t>.服务方案；</w:t>
            </w:r>
          </w:p>
          <w:p w14:paraId="68337FCE">
            <w:pPr>
              <w:jc w:val="both"/>
              <w:rPr>
                <w:color w:val="auto"/>
                <w:sz w:val="21"/>
                <w:szCs w:val="21"/>
                <w:highlight w:val="none"/>
              </w:rPr>
            </w:pPr>
            <w:r>
              <w:rPr>
                <w:rFonts w:hint="eastAsia"/>
                <w:color w:val="auto"/>
                <w:sz w:val="21"/>
                <w:szCs w:val="21"/>
                <w:highlight w:val="none"/>
                <w:lang w:val="en-US" w:eastAsia="zh-CN"/>
              </w:rPr>
              <w:t>3</w:t>
            </w:r>
            <w:r>
              <w:rPr>
                <w:color w:val="auto"/>
                <w:sz w:val="21"/>
                <w:szCs w:val="21"/>
                <w:highlight w:val="none"/>
              </w:rPr>
              <w:t>.质量保障措施和应急预案</w:t>
            </w:r>
            <w:r>
              <w:rPr>
                <w:rFonts w:hint="eastAsia"/>
                <w:color w:val="auto"/>
                <w:sz w:val="21"/>
                <w:szCs w:val="21"/>
                <w:highlight w:val="none"/>
                <w:lang w:eastAsia="zh-CN"/>
              </w:rPr>
              <w:t>。</w:t>
            </w:r>
          </w:p>
        </w:tc>
      </w:tr>
      <w:tr w14:paraId="6F46A5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558" w:type="pct"/>
            <w:vAlign w:val="center"/>
          </w:tcPr>
          <w:p w14:paraId="0213A5C2">
            <w:pPr>
              <w:pStyle w:val="5"/>
              <w:keepNext w:val="0"/>
              <w:keepLines w:val="0"/>
              <w:pageBreakBefore w:val="0"/>
              <w:widowControl w:val="0"/>
              <w:kinsoku/>
              <w:wordWrap w:val="0"/>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tc>
        <w:tc>
          <w:tcPr>
            <w:tcW w:w="4441" w:type="pct"/>
            <w:gridSpan w:val="2"/>
            <w:vAlign w:val="center"/>
          </w:tcPr>
          <w:p w14:paraId="62576E19">
            <w:pPr>
              <w:pStyle w:val="5"/>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打“★”号条款为实质性条款，若有任何一条负偏离或不满足则导致投标无效。 </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打“▲”号条款为重要技术参数，若有部分“▲”条款未响应或不满足，不作为无效投标条款。</w:t>
            </w:r>
          </w:p>
        </w:tc>
      </w:tr>
    </w:tbl>
    <w:p w14:paraId="4F3B763F">
      <w:pPr>
        <w:rPr>
          <w:color w:val="auto"/>
          <w:highlight w:val="none"/>
        </w:rPr>
      </w:pPr>
    </w:p>
    <w:p w14:paraId="21E02362">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color w:val="auto"/>
          <w:sz w:val="21"/>
          <w:szCs w:val="21"/>
          <w:highlight w:val="none"/>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11B1D"/>
    <w:rsid w:val="01BA10AA"/>
    <w:rsid w:val="02274EC8"/>
    <w:rsid w:val="02DF23B3"/>
    <w:rsid w:val="035C5045"/>
    <w:rsid w:val="05D11D1B"/>
    <w:rsid w:val="06765523"/>
    <w:rsid w:val="0765096C"/>
    <w:rsid w:val="076B1CFB"/>
    <w:rsid w:val="081D1247"/>
    <w:rsid w:val="08DF37EC"/>
    <w:rsid w:val="0983332C"/>
    <w:rsid w:val="09B74D83"/>
    <w:rsid w:val="09E57B43"/>
    <w:rsid w:val="0A570314"/>
    <w:rsid w:val="0BD5192C"/>
    <w:rsid w:val="0CDD2B94"/>
    <w:rsid w:val="0D240982"/>
    <w:rsid w:val="0E52151F"/>
    <w:rsid w:val="0FFF56D6"/>
    <w:rsid w:val="101F3682"/>
    <w:rsid w:val="1041184B"/>
    <w:rsid w:val="11F33E99"/>
    <w:rsid w:val="125E66E4"/>
    <w:rsid w:val="12AD31C8"/>
    <w:rsid w:val="13165211"/>
    <w:rsid w:val="13B81E24"/>
    <w:rsid w:val="165A18B8"/>
    <w:rsid w:val="177C75CC"/>
    <w:rsid w:val="1AC927D3"/>
    <w:rsid w:val="1D0460DA"/>
    <w:rsid w:val="1E1D56DB"/>
    <w:rsid w:val="1EA96F39"/>
    <w:rsid w:val="20170100"/>
    <w:rsid w:val="23B24AE2"/>
    <w:rsid w:val="23ED1676"/>
    <w:rsid w:val="29235A79"/>
    <w:rsid w:val="29EA6657"/>
    <w:rsid w:val="2C4D184B"/>
    <w:rsid w:val="2D0B7011"/>
    <w:rsid w:val="2DCF6290"/>
    <w:rsid w:val="2DFA709F"/>
    <w:rsid w:val="2FC35981"/>
    <w:rsid w:val="32AC66DB"/>
    <w:rsid w:val="360D7BCA"/>
    <w:rsid w:val="36F6488E"/>
    <w:rsid w:val="371D50AD"/>
    <w:rsid w:val="37A75B88"/>
    <w:rsid w:val="37AB5678"/>
    <w:rsid w:val="38F207CE"/>
    <w:rsid w:val="39B527DE"/>
    <w:rsid w:val="3ABD40AB"/>
    <w:rsid w:val="3DE45F42"/>
    <w:rsid w:val="3E045AE2"/>
    <w:rsid w:val="3FB37BC1"/>
    <w:rsid w:val="409C46F8"/>
    <w:rsid w:val="41166258"/>
    <w:rsid w:val="435941F1"/>
    <w:rsid w:val="45AF0A29"/>
    <w:rsid w:val="47335CBB"/>
    <w:rsid w:val="47B32E58"/>
    <w:rsid w:val="4925628F"/>
    <w:rsid w:val="49FE5ADB"/>
    <w:rsid w:val="4A111CB3"/>
    <w:rsid w:val="4B6B0F4E"/>
    <w:rsid w:val="4C03562B"/>
    <w:rsid w:val="4D662315"/>
    <w:rsid w:val="4DC332C4"/>
    <w:rsid w:val="4DC478E6"/>
    <w:rsid w:val="4F8E16AF"/>
    <w:rsid w:val="51753C11"/>
    <w:rsid w:val="51A8684A"/>
    <w:rsid w:val="51C92E73"/>
    <w:rsid w:val="540E1011"/>
    <w:rsid w:val="54907C78"/>
    <w:rsid w:val="564B654C"/>
    <w:rsid w:val="56CD1BA9"/>
    <w:rsid w:val="57D04F5B"/>
    <w:rsid w:val="58F72073"/>
    <w:rsid w:val="5B597015"/>
    <w:rsid w:val="5EF713AE"/>
    <w:rsid w:val="62092E18"/>
    <w:rsid w:val="66FD73EF"/>
    <w:rsid w:val="683230C8"/>
    <w:rsid w:val="68A87665"/>
    <w:rsid w:val="6ADA17F5"/>
    <w:rsid w:val="6C5A0E3F"/>
    <w:rsid w:val="6CD21CF9"/>
    <w:rsid w:val="6E0077C5"/>
    <w:rsid w:val="6E5024FA"/>
    <w:rsid w:val="6EB05B51"/>
    <w:rsid w:val="6ED70525"/>
    <w:rsid w:val="71B50A2A"/>
    <w:rsid w:val="73412411"/>
    <w:rsid w:val="7355410F"/>
    <w:rsid w:val="74E74BD4"/>
    <w:rsid w:val="77521091"/>
    <w:rsid w:val="7A3410D9"/>
    <w:rsid w:val="7BE40725"/>
    <w:rsid w:val="7C7969B8"/>
    <w:rsid w:val="7CB77BE8"/>
    <w:rsid w:val="7DB45A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1831</Words>
  <Characters>1873</Characters>
  <Lines>0</Lines>
  <Paragraphs>0</Paragraphs>
  <TotalTime>0</TotalTime>
  <ScaleCrop>false</ScaleCrop>
  <LinksUpToDate>false</LinksUpToDate>
  <CharactersWithSpaces>1874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2025-11-04T03:22:00Z</dcterms:created>
  <dc:creator>Administrator</dc:creator>
  <cp:lastModifiedBy>00</cp:lastModifiedBy>
  <dcterms:modified xsi:type="dcterms:W3CDTF">2026-06-18T09:32:15Z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eyJoZGlkIjoiMTk3N2VhNWEzYTU3Njg5YWE5MTlkMmQyYTFiZTZlMzIiLCJ1c2VySWQiOiI2NDk5Nzc1NDIifQ==</vt:lpwstr>
  </property>
  <property fmtid="{D5CDD505-2E9C-101B-9397-08002B2CF9AE}" pid="4" name="ICV">
    <vt:lpwstr>BA5A1C1A039C42989FE277A6259402D2_13</vt:lpwstr>
  </property>
</Properties>
</file>