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4A37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after="0" w:afterLines="0" w:line="360" w:lineRule="auto"/>
        <w:jc w:val="left"/>
        <w:textAlignment w:val="auto"/>
        <w:rPr>
          <w:rFonts w:hint="eastAsia" w:ascii="宋体" w:hAnsi="宋体" w:cs="宋体"/>
          <w:b/>
          <w:bCs/>
          <w:sz w:val="22"/>
          <w:szCs w:val="22"/>
          <w:u w:val="double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bCs/>
          <w:sz w:val="22"/>
          <w:szCs w:val="22"/>
          <w:u w:val="double"/>
          <w:lang w:val="en-US" w:eastAsia="zh-CN"/>
        </w:rPr>
        <w:t>附件4：</w:t>
      </w:r>
    </w:p>
    <w:bookmarkEnd w:id="0"/>
    <w:p w14:paraId="1EEC2B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after="0" w:afterLines="0" w:line="360" w:lineRule="auto"/>
        <w:jc w:val="center"/>
        <w:textAlignment w:val="auto"/>
        <w:rPr>
          <w:rFonts w:hint="eastAsia" w:ascii="宋体" w:hAnsi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《采购需求》</w:t>
      </w:r>
    </w:p>
    <w:p w14:paraId="6339CFA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after="0" w:afterLines="0"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服务情况：</w:t>
      </w:r>
    </w:p>
    <w:p w14:paraId="2CF63EAB">
      <w:pPr>
        <w:keepNext w:val="0"/>
        <w:keepLines w:val="0"/>
        <w:pageBreakBefore w:val="0"/>
        <w:widowControl w:val="0"/>
        <w:numPr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after="0" w:afterLines="0"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小榄片区和东升片区外环境、指定单位的室内外，全部执行有害生物（鼠、蚊、蝇、蟑螂）防制工作，服务期为一年。外环境包括场所周边100米范围内，道路中间及两旁30米区域范围内的绿化带、杂草地及小块空地，公共场所绿化带、下水道、河岸边、空地、杂草地、路边垃圾桶和临时垃圾收集点、卫生死角等。具体范围详见道路明细及公共场所明细表。</w:t>
      </w:r>
    </w:p>
    <w:p w14:paraId="52FDCE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pacing w:after="0" w:afterLines="0" w:line="360" w:lineRule="auto"/>
        <w:ind w:leftChars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表格1：服务范围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6898"/>
        <w:gridCol w:w="1508"/>
      </w:tblGrid>
      <w:tr w14:paraId="26F5F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1" w:type="pct"/>
            <w:shd w:val="clear" w:color="auto" w:fill="FFFFFF"/>
            <w:vAlign w:val="center"/>
          </w:tcPr>
          <w:p w14:paraId="4CE73C7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3732" w:type="pct"/>
            <w:shd w:val="clear" w:color="auto" w:fill="FFFFFF"/>
            <w:vAlign w:val="center"/>
          </w:tcPr>
          <w:p w14:paraId="410D580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具体区域或地段</w:t>
            </w:r>
          </w:p>
        </w:tc>
        <w:tc>
          <w:tcPr>
            <w:tcW w:w="816" w:type="pct"/>
            <w:shd w:val="clear" w:color="auto" w:fill="FFFFFF"/>
            <w:vAlign w:val="center"/>
          </w:tcPr>
          <w:p w14:paraId="089F427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防制对象</w:t>
            </w:r>
          </w:p>
        </w:tc>
      </w:tr>
      <w:tr w14:paraId="40D52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2" w:hRule="atLeast"/>
          <w:jc w:val="center"/>
        </w:trPr>
        <w:tc>
          <w:tcPr>
            <w:tcW w:w="451" w:type="pct"/>
            <w:shd w:val="clear" w:color="auto" w:fill="FFFFFF"/>
            <w:vAlign w:val="center"/>
          </w:tcPr>
          <w:p w14:paraId="7BBED4C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3732" w:type="pct"/>
            <w:shd w:val="clear" w:color="auto" w:fill="FFFFFF"/>
            <w:vAlign w:val="center"/>
          </w:tcPr>
          <w:p w14:paraId="751CAC2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环镇北路、宝源路、竹桥直街、永宁工业大道、红山路、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深巷路、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新市路、文化路、正义路、康公路、云路、拱桥路、下基路、长堤路、东堤路、南堤路、基头路、北苑路、岗底涌路、北秀路、龙山路、基头路、富华路、新华路、荣华路、升平路、民安北路、民安中路、民安南路、中顺大堤小榄全段及其绿道（从均安交界起）、沙口东路、沙口西路、同安路、小榄大道、德来路、菊城大道东、菊城大道中、菊城大道西、广源中路、广源南路、广源北路、跃龙路、东生东路、东生中路、东生西路、文成路、紫荆路、文田路、环镇西路、九洲路、祥丰北路、泰昌路、广成路、新沙水公路、祥龙路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附件</w:t>
            </w: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1：小榄镇除四害路段明细表</w:t>
            </w: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。</w:t>
            </w:r>
          </w:p>
        </w:tc>
        <w:tc>
          <w:tcPr>
            <w:tcW w:w="816" w:type="pct"/>
            <w:shd w:val="clear" w:color="auto" w:fill="FFFFFF"/>
            <w:vAlign w:val="center"/>
          </w:tcPr>
          <w:p w14:paraId="01D17D5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外环境</w:t>
            </w:r>
          </w:p>
        </w:tc>
      </w:tr>
      <w:tr w14:paraId="24722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1" w:type="pct"/>
            <w:shd w:val="clear" w:color="auto" w:fill="FFFFFF"/>
            <w:vAlign w:val="center"/>
          </w:tcPr>
          <w:p w14:paraId="0D5C8D3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732" w:type="pct"/>
            <w:shd w:val="clear" w:color="auto" w:fill="FFFFFF"/>
            <w:vAlign w:val="center"/>
          </w:tcPr>
          <w:p w14:paraId="045F23D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小榄镇政府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小榄镇政府第二办公区、中山市人力资源和社会保障局小榄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分局、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小榄镇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综合行政执法局、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小榄镇公共服务办公室是民政综合楼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小榄镇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综合行政执法局第二办公区、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中山市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市场监管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局小榄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816" w:type="pct"/>
            <w:shd w:val="clear" w:color="auto" w:fill="FFFFFF"/>
            <w:vAlign w:val="center"/>
          </w:tcPr>
          <w:p w14:paraId="293B13F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室内外环境</w:t>
            </w:r>
          </w:p>
        </w:tc>
      </w:tr>
      <w:tr w14:paraId="0F82A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1" w:type="pct"/>
            <w:shd w:val="clear" w:color="auto" w:fill="FFFFFF"/>
            <w:vAlign w:val="center"/>
          </w:tcPr>
          <w:p w14:paraId="5F0A57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732" w:type="pct"/>
            <w:shd w:val="clear" w:color="auto" w:fill="FFFFFF"/>
            <w:vAlign w:val="center"/>
          </w:tcPr>
          <w:p w14:paraId="2218231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小榄镇社区卫生服务中心等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25个卫生站服务点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（附件2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小榄镇社区卫生服务机构）</w:t>
            </w:r>
          </w:p>
        </w:tc>
        <w:tc>
          <w:tcPr>
            <w:tcW w:w="816" w:type="pct"/>
            <w:shd w:val="clear" w:color="auto" w:fill="FFFFFF"/>
            <w:vAlign w:val="center"/>
          </w:tcPr>
          <w:p w14:paraId="4829843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室内外环境</w:t>
            </w:r>
          </w:p>
        </w:tc>
      </w:tr>
      <w:tr w14:paraId="14D1C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1" w:type="pct"/>
            <w:shd w:val="clear" w:color="auto" w:fill="FFFFFF"/>
            <w:vAlign w:val="center"/>
          </w:tcPr>
          <w:p w14:paraId="7B36D02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732" w:type="pct"/>
            <w:shd w:val="clear" w:color="auto" w:fill="FFFFFF"/>
            <w:vAlign w:val="center"/>
          </w:tcPr>
          <w:p w14:paraId="237B434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红山路公厕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>等27个公厕点</w:t>
            </w:r>
            <w:r>
              <w:rPr>
                <w:rFonts w:hint="eastAsia" w:ascii="宋体" w:hAnsi="宋体" w:cs="宋体"/>
                <w:b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附件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小榄镇镇属公厕明细表</w:t>
            </w:r>
            <w:r>
              <w:rPr>
                <w:rFonts w:hint="eastAsia" w:ascii="宋体" w:hAnsi="宋体" w:cs="宋体"/>
                <w:b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816" w:type="pct"/>
            <w:shd w:val="clear" w:color="auto" w:fill="FFFFFF"/>
            <w:vAlign w:val="center"/>
          </w:tcPr>
          <w:p w14:paraId="6597F48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内外环境</w:t>
            </w:r>
          </w:p>
        </w:tc>
      </w:tr>
    </w:tbl>
    <w:p w14:paraId="03D8AA9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2D48E8F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表格2：服务内容、要求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6543"/>
        <w:gridCol w:w="1569"/>
      </w:tblGrid>
      <w:tr w14:paraId="53E0A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pct"/>
            <w:shd w:val="clear" w:color="auto" w:fill="FFFFFF"/>
            <w:vAlign w:val="center"/>
          </w:tcPr>
          <w:p w14:paraId="094D5CA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服务项目</w:t>
            </w:r>
          </w:p>
        </w:tc>
        <w:tc>
          <w:tcPr>
            <w:tcW w:w="3540" w:type="pct"/>
            <w:shd w:val="clear" w:color="auto" w:fill="FFFFFF"/>
            <w:vAlign w:val="center"/>
          </w:tcPr>
          <w:p w14:paraId="45B789C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服务内容</w:t>
            </w:r>
          </w:p>
        </w:tc>
        <w:tc>
          <w:tcPr>
            <w:tcW w:w="848" w:type="pct"/>
            <w:shd w:val="clear" w:color="auto" w:fill="FFFFFF"/>
            <w:vAlign w:val="center"/>
          </w:tcPr>
          <w:p w14:paraId="251E76E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服务要求</w:t>
            </w:r>
          </w:p>
        </w:tc>
      </w:tr>
      <w:tr w14:paraId="2691B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pct"/>
            <w:vMerge w:val="restart"/>
            <w:shd w:val="clear" w:color="auto" w:fill="FFFFFF"/>
            <w:vAlign w:val="center"/>
          </w:tcPr>
          <w:p w14:paraId="58368A3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灭鼠</w:t>
            </w:r>
          </w:p>
        </w:tc>
        <w:tc>
          <w:tcPr>
            <w:tcW w:w="3540" w:type="pct"/>
            <w:shd w:val="clear" w:color="auto" w:fill="FFFFFF"/>
            <w:vAlign w:val="center"/>
          </w:tcPr>
          <w:p w14:paraId="123CFF9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（1）服务范围内要饱和投放灭鼠药。</w:t>
            </w:r>
          </w:p>
        </w:tc>
        <w:tc>
          <w:tcPr>
            <w:tcW w:w="848" w:type="pct"/>
            <w:shd w:val="clear" w:color="auto" w:fill="FFFFFF"/>
            <w:vAlign w:val="center"/>
          </w:tcPr>
          <w:p w14:paraId="53958B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每月1次</w:t>
            </w:r>
          </w:p>
        </w:tc>
      </w:tr>
      <w:tr w14:paraId="65E0E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pct"/>
            <w:vMerge w:val="continue"/>
            <w:vAlign w:val="center"/>
          </w:tcPr>
          <w:p w14:paraId="193E8BD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40" w:type="pct"/>
            <w:shd w:val="clear" w:color="auto" w:fill="FFFFFF"/>
            <w:vAlign w:val="center"/>
          </w:tcPr>
          <w:p w14:paraId="3D1B1AF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（2）公共环境每月检查鼠迹，发现鼠迹立即清理并及时按常规投放和补充毒饵。</w:t>
            </w:r>
          </w:p>
        </w:tc>
        <w:tc>
          <w:tcPr>
            <w:tcW w:w="848" w:type="pct"/>
            <w:shd w:val="clear" w:color="auto" w:fill="FFFFFF"/>
            <w:vAlign w:val="center"/>
          </w:tcPr>
          <w:p w14:paraId="2F49F9A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每月1次</w:t>
            </w:r>
          </w:p>
        </w:tc>
      </w:tr>
      <w:tr w14:paraId="7D936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pct"/>
            <w:vMerge w:val="continue"/>
            <w:vAlign w:val="center"/>
          </w:tcPr>
          <w:p w14:paraId="368D8E7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40" w:type="pct"/>
            <w:shd w:val="clear" w:color="auto" w:fill="FFFFFF"/>
            <w:vAlign w:val="center"/>
          </w:tcPr>
          <w:p w14:paraId="50EA6F3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（3）每月监测鼠情，按常规投药和补投药。特殊场所邻近周边如食品加工场所、农贸市场等。</w:t>
            </w:r>
          </w:p>
        </w:tc>
        <w:tc>
          <w:tcPr>
            <w:tcW w:w="848" w:type="pct"/>
            <w:shd w:val="clear" w:color="auto" w:fill="FFFFFF"/>
            <w:vAlign w:val="center"/>
          </w:tcPr>
          <w:p w14:paraId="321FF71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每月1次</w:t>
            </w:r>
          </w:p>
        </w:tc>
      </w:tr>
      <w:tr w14:paraId="1B158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pct"/>
            <w:vMerge w:val="continue"/>
            <w:vAlign w:val="center"/>
          </w:tcPr>
          <w:p w14:paraId="7144443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40" w:type="pct"/>
            <w:shd w:val="clear" w:color="auto" w:fill="FFFFFF"/>
            <w:vAlign w:val="center"/>
          </w:tcPr>
          <w:p w14:paraId="58EE881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（4）住宅小区、待建工地每季度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10%比例抽样进行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入户问鼠情1次</w:t>
            </w:r>
          </w:p>
        </w:tc>
        <w:tc>
          <w:tcPr>
            <w:tcW w:w="848" w:type="pct"/>
            <w:shd w:val="clear" w:color="auto" w:fill="FFFFFF"/>
            <w:vAlign w:val="center"/>
          </w:tcPr>
          <w:p w14:paraId="46B6FCA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每季度1次</w:t>
            </w:r>
          </w:p>
        </w:tc>
      </w:tr>
      <w:tr w14:paraId="7A4B3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pct"/>
            <w:vMerge w:val="continue"/>
            <w:vAlign w:val="center"/>
          </w:tcPr>
          <w:p w14:paraId="66C2AA8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40" w:type="pct"/>
            <w:shd w:val="clear" w:color="auto" w:fill="FFFFFF"/>
            <w:vAlign w:val="center"/>
          </w:tcPr>
          <w:p w14:paraId="6819CAA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（5）每季度按国家考核标准对鼠密度进行监测。</w:t>
            </w:r>
          </w:p>
        </w:tc>
        <w:tc>
          <w:tcPr>
            <w:tcW w:w="848" w:type="pct"/>
            <w:shd w:val="clear" w:color="auto" w:fill="FFFFFF"/>
            <w:vAlign w:val="center"/>
          </w:tcPr>
          <w:p w14:paraId="78F32B8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每季度1次</w:t>
            </w:r>
          </w:p>
        </w:tc>
      </w:tr>
      <w:tr w14:paraId="0D03C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pct"/>
            <w:vMerge w:val="restart"/>
            <w:shd w:val="clear" w:color="auto" w:fill="FFFFFF"/>
            <w:vAlign w:val="center"/>
          </w:tcPr>
          <w:p w14:paraId="56DEE42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灭蚊</w:t>
            </w:r>
          </w:p>
        </w:tc>
        <w:tc>
          <w:tcPr>
            <w:tcW w:w="3540" w:type="pct"/>
            <w:shd w:val="clear" w:color="auto" w:fill="FFFFFF"/>
            <w:vAlign w:val="center"/>
          </w:tcPr>
          <w:p w14:paraId="6075F28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（1）大、中型水体（养殖水体除外）每旬检查一次，发现有蚊幼虫孳生立即施药处理。</w:t>
            </w:r>
          </w:p>
        </w:tc>
        <w:tc>
          <w:tcPr>
            <w:tcW w:w="848" w:type="pct"/>
            <w:shd w:val="clear" w:color="auto" w:fill="FFFFFF"/>
            <w:vAlign w:val="center"/>
          </w:tcPr>
          <w:p w14:paraId="46CB5CC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每旬1次</w:t>
            </w:r>
          </w:p>
        </w:tc>
      </w:tr>
      <w:tr w14:paraId="10B19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pct"/>
            <w:vMerge w:val="continue"/>
            <w:vAlign w:val="center"/>
          </w:tcPr>
          <w:p w14:paraId="679C3F0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40" w:type="pct"/>
            <w:shd w:val="clear" w:color="auto" w:fill="FFFFFF"/>
            <w:vAlign w:val="center"/>
          </w:tcPr>
          <w:p w14:paraId="356F02B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（2）服务范围下水道沙井，每井吊挂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或投放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含10克倍硫磷缓释剂（或其它相当剂量的灭蚊幼药物）1包，每月检查更换一次；防蚊闸或存水弯管吊挂含10克倍硫磷缓释剂（或其它相当剂量的灭蚊幼药物）1包，每月检查更换一次，控制蚊幼虫孳生。</w:t>
            </w:r>
          </w:p>
        </w:tc>
        <w:tc>
          <w:tcPr>
            <w:tcW w:w="848" w:type="pct"/>
            <w:shd w:val="clear" w:color="auto" w:fill="FFFFFF"/>
            <w:vAlign w:val="center"/>
          </w:tcPr>
          <w:p w14:paraId="7D34BC8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每月1次</w:t>
            </w:r>
          </w:p>
        </w:tc>
      </w:tr>
      <w:tr w14:paraId="18F64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pct"/>
            <w:vMerge w:val="continue"/>
            <w:vAlign w:val="center"/>
          </w:tcPr>
          <w:p w14:paraId="66159AA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40" w:type="pct"/>
            <w:shd w:val="clear" w:color="auto" w:fill="FFFFFF"/>
            <w:vAlign w:val="center"/>
          </w:tcPr>
          <w:p w14:paraId="6A08EF9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（3）清理外环境各种小积水，或施药处理。</w:t>
            </w:r>
          </w:p>
        </w:tc>
        <w:tc>
          <w:tcPr>
            <w:tcW w:w="848" w:type="pct"/>
            <w:shd w:val="clear" w:color="auto" w:fill="FFFFFF"/>
            <w:vAlign w:val="center"/>
          </w:tcPr>
          <w:p w14:paraId="181A9BA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每月1次</w:t>
            </w:r>
          </w:p>
        </w:tc>
      </w:tr>
      <w:tr w14:paraId="6B11F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pct"/>
            <w:vMerge w:val="continue"/>
            <w:vAlign w:val="center"/>
          </w:tcPr>
          <w:p w14:paraId="4CBDDEB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40" w:type="pct"/>
            <w:shd w:val="clear" w:color="auto" w:fill="FFFFFF"/>
            <w:vAlign w:val="center"/>
          </w:tcPr>
          <w:p w14:paraId="61884AC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（4）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小榄镇政府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小榄镇政府第二办公区、中山市人力资源和社会保障局小榄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分局、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小榄镇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综合行政执法局、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小榄镇公共服务办公室是民政综合楼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小榄镇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综合行政执法局第二办公区、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中山市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市场监管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局小榄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、小榄镇社区卫生服务中心等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25个卫生站服务点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每月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次全面喷杀成蚊、机械烟薰下水道、检查治理孳生地。</w:t>
            </w:r>
          </w:p>
        </w:tc>
        <w:tc>
          <w:tcPr>
            <w:tcW w:w="848" w:type="pct"/>
            <w:shd w:val="clear" w:color="auto" w:fill="FFFFFF"/>
            <w:vAlign w:val="center"/>
          </w:tcPr>
          <w:p w14:paraId="56415BE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次</w:t>
            </w:r>
          </w:p>
        </w:tc>
      </w:tr>
      <w:tr w14:paraId="5F1BD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pct"/>
            <w:vMerge w:val="continue"/>
            <w:vAlign w:val="center"/>
          </w:tcPr>
          <w:p w14:paraId="15F8D56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40" w:type="pct"/>
            <w:shd w:val="clear" w:color="auto" w:fill="FFFFFF"/>
            <w:vAlign w:val="center"/>
          </w:tcPr>
          <w:p w14:paraId="24FC28B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（5）公共场所绿化带、下水道、河涌两岸、杂草地、路边垃圾桶和临时垃圾收集点等每月2次全面喷杀成蚊、机械烟薰下水道、检查治理孳生地。</w:t>
            </w:r>
          </w:p>
        </w:tc>
        <w:tc>
          <w:tcPr>
            <w:tcW w:w="848" w:type="pct"/>
            <w:shd w:val="clear" w:color="auto" w:fill="FFFFFF"/>
            <w:vAlign w:val="center"/>
          </w:tcPr>
          <w:p w14:paraId="224F108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每月2次</w:t>
            </w:r>
          </w:p>
        </w:tc>
      </w:tr>
      <w:tr w14:paraId="11B3A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pct"/>
            <w:vMerge w:val="continue"/>
            <w:vAlign w:val="center"/>
          </w:tcPr>
          <w:p w14:paraId="534ACF0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40" w:type="pct"/>
            <w:shd w:val="clear" w:color="auto" w:fill="FFFFFF"/>
            <w:vAlign w:val="center"/>
          </w:tcPr>
          <w:p w14:paraId="0839925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（6）每季度按国家考核标准对蚊密度进行监测。</w:t>
            </w:r>
          </w:p>
        </w:tc>
        <w:tc>
          <w:tcPr>
            <w:tcW w:w="848" w:type="pct"/>
            <w:shd w:val="clear" w:color="auto" w:fill="FFFFFF"/>
            <w:vAlign w:val="center"/>
          </w:tcPr>
          <w:p w14:paraId="0F378F6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每季度1次</w:t>
            </w:r>
          </w:p>
        </w:tc>
      </w:tr>
      <w:tr w14:paraId="54CA9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pct"/>
            <w:vMerge w:val="restart"/>
            <w:shd w:val="clear" w:color="auto" w:fill="FFFFFF"/>
            <w:vAlign w:val="center"/>
          </w:tcPr>
          <w:p w14:paraId="116F622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灭蝇</w:t>
            </w:r>
          </w:p>
        </w:tc>
        <w:tc>
          <w:tcPr>
            <w:tcW w:w="3540" w:type="pct"/>
            <w:shd w:val="clear" w:color="auto" w:fill="FFFFFF"/>
            <w:vAlign w:val="center"/>
          </w:tcPr>
          <w:p w14:paraId="4EC9F88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（1）服务范围垃圾屋、垃圾池、垃圾桶、垃圾车及卫生死角、垃圾堆，每月喷药一次。</w:t>
            </w:r>
          </w:p>
        </w:tc>
        <w:tc>
          <w:tcPr>
            <w:tcW w:w="848" w:type="pct"/>
            <w:shd w:val="clear" w:color="auto" w:fill="FFFFFF"/>
            <w:vAlign w:val="center"/>
          </w:tcPr>
          <w:p w14:paraId="4912972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每月1次</w:t>
            </w:r>
          </w:p>
        </w:tc>
      </w:tr>
      <w:tr w14:paraId="38BAC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pct"/>
            <w:vMerge w:val="continue"/>
            <w:vAlign w:val="center"/>
          </w:tcPr>
          <w:p w14:paraId="49EDB1D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40" w:type="pct"/>
            <w:shd w:val="clear" w:color="auto" w:fill="FFFFFF"/>
            <w:vAlign w:val="center"/>
          </w:tcPr>
          <w:p w14:paraId="750BD18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（2）农贸市场等场所周边邻近100米范围内，每月滞留喷洒灭蝇一次。</w:t>
            </w:r>
          </w:p>
        </w:tc>
        <w:tc>
          <w:tcPr>
            <w:tcW w:w="848" w:type="pct"/>
            <w:shd w:val="clear" w:color="auto" w:fill="FFFFFF"/>
            <w:vAlign w:val="center"/>
          </w:tcPr>
          <w:p w14:paraId="27BC9B9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每月1次</w:t>
            </w:r>
          </w:p>
        </w:tc>
      </w:tr>
      <w:tr w14:paraId="6742B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pct"/>
            <w:vMerge w:val="continue"/>
            <w:vAlign w:val="center"/>
          </w:tcPr>
          <w:p w14:paraId="4C94F65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40" w:type="pct"/>
            <w:shd w:val="clear" w:color="auto" w:fill="FFFFFF"/>
            <w:vAlign w:val="center"/>
          </w:tcPr>
          <w:p w14:paraId="58A691F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（3）每季度按国家考核标准对成蝇密度进行监测。</w:t>
            </w:r>
          </w:p>
        </w:tc>
        <w:tc>
          <w:tcPr>
            <w:tcW w:w="848" w:type="pct"/>
            <w:shd w:val="clear" w:color="auto" w:fill="FFFFFF"/>
            <w:vAlign w:val="center"/>
          </w:tcPr>
          <w:p w14:paraId="78A3CC1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每季度1次</w:t>
            </w:r>
          </w:p>
        </w:tc>
      </w:tr>
      <w:tr w14:paraId="10ED9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pct"/>
            <w:vMerge w:val="restart"/>
            <w:shd w:val="clear" w:color="auto" w:fill="FFFFFF"/>
            <w:vAlign w:val="center"/>
          </w:tcPr>
          <w:p w14:paraId="4D9C465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灭蟑螂</w:t>
            </w:r>
          </w:p>
        </w:tc>
        <w:tc>
          <w:tcPr>
            <w:tcW w:w="3540" w:type="pct"/>
            <w:shd w:val="clear" w:color="auto" w:fill="FFFFFF"/>
            <w:vAlign w:val="center"/>
          </w:tcPr>
          <w:p w14:paraId="47D7CB3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（1）农贸市场等场所周边邻近100米范围内公共环境，每月喷药灭蟑检查蟑迹。</w:t>
            </w:r>
          </w:p>
        </w:tc>
        <w:tc>
          <w:tcPr>
            <w:tcW w:w="848" w:type="pct"/>
            <w:shd w:val="clear" w:color="auto" w:fill="FFFFFF"/>
            <w:vAlign w:val="center"/>
          </w:tcPr>
          <w:p w14:paraId="3402197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每月1次</w:t>
            </w:r>
          </w:p>
        </w:tc>
      </w:tr>
      <w:tr w14:paraId="408E0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pct"/>
            <w:vMerge w:val="continue"/>
            <w:vAlign w:val="center"/>
          </w:tcPr>
          <w:p w14:paraId="43761A5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40" w:type="pct"/>
            <w:shd w:val="clear" w:color="auto" w:fill="FFFFFF"/>
            <w:vAlign w:val="center"/>
          </w:tcPr>
          <w:p w14:paraId="6BF8FE9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（2）服务范围公共场所的所有下水道，每月进行机械热烟雾薰杀灭蟑一次。</w:t>
            </w:r>
          </w:p>
        </w:tc>
        <w:tc>
          <w:tcPr>
            <w:tcW w:w="848" w:type="pct"/>
            <w:shd w:val="clear" w:color="auto" w:fill="FFFFFF"/>
            <w:vAlign w:val="center"/>
          </w:tcPr>
          <w:p w14:paraId="3C2D873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每月1次</w:t>
            </w:r>
          </w:p>
        </w:tc>
      </w:tr>
      <w:tr w14:paraId="50E05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pct"/>
            <w:vMerge w:val="continue"/>
            <w:vAlign w:val="center"/>
          </w:tcPr>
          <w:p w14:paraId="265C9D6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40" w:type="pct"/>
            <w:shd w:val="clear" w:color="auto" w:fill="FFFFFF"/>
            <w:vAlign w:val="center"/>
          </w:tcPr>
          <w:p w14:paraId="1F1B180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（3）每季度按国家考核标准对蟑螂密度进行监测。</w:t>
            </w:r>
          </w:p>
        </w:tc>
        <w:tc>
          <w:tcPr>
            <w:tcW w:w="848" w:type="pct"/>
            <w:shd w:val="clear" w:color="auto" w:fill="FFFFFF"/>
            <w:vAlign w:val="center"/>
          </w:tcPr>
          <w:p w14:paraId="24ACFB4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每季度1次</w:t>
            </w:r>
          </w:p>
        </w:tc>
      </w:tr>
      <w:tr w14:paraId="7242C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pct"/>
            <w:vMerge w:val="restart"/>
            <w:shd w:val="clear" w:color="auto" w:fill="FFFFFF"/>
            <w:vAlign w:val="center"/>
          </w:tcPr>
          <w:p w14:paraId="1C16AD6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其他</w:t>
            </w:r>
          </w:p>
        </w:tc>
        <w:tc>
          <w:tcPr>
            <w:tcW w:w="3540" w:type="pct"/>
            <w:shd w:val="clear" w:color="auto" w:fill="FFFFFF"/>
            <w:vAlign w:val="center"/>
          </w:tcPr>
          <w:p w14:paraId="395F8D6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（1）每季度向居民住户调查问询四害情况，每片区问询住户不少于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户，免费向各社区、市民宣传四害防治知识和进行技术指导。</w:t>
            </w:r>
          </w:p>
        </w:tc>
        <w:tc>
          <w:tcPr>
            <w:tcW w:w="848" w:type="pct"/>
            <w:shd w:val="clear" w:color="auto" w:fill="FFFFFF"/>
            <w:vAlign w:val="center"/>
          </w:tcPr>
          <w:p w14:paraId="3A6F895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每季度1次</w:t>
            </w:r>
          </w:p>
        </w:tc>
      </w:tr>
      <w:tr w14:paraId="14A17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pct"/>
            <w:vMerge w:val="continue"/>
            <w:vAlign w:val="center"/>
          </w:tcPr>
          <w:p w14:paraId="2DDE591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40" w:type="pct"/>
            <w:shd w:val="clear" w:color="auto" w:fill="FFFFFF"/>
            <w:vAlign w:val="center"/>
          </w:tcPr>
          <w:p w14:paraId="3278343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（2）每季度按政府要求提供季度工作总结。</w:t>
            </w:r>
          </w:p>
        </w:tc>
        <w:tc>
          <w:tcPr>
            <w:tcW w:w="848" w:type="pct"/>
            <w:shd w:val="clear" w:color="auto" w:fill="FFFFFF"/>
            <w:vAlign w:val="center"/>
          </w:tcPr>
          <w:p w14:paraId="1DC53F8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每季度1次</w:t>
            </w:r>
          </w:p>
        </w:tc>
      </w:tr>
      <w:tr w14:paraId="5AD06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pct"/>
            <w:vMerge w:val="continue"/>
            <w:vAlign w:val="center"/>
          </w:tcPr>
          <w:p w14:paraId="3CD3005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389" w:type="pct"/>
            <w:gridSpan w:val="2"/>
            <w:shd w:val="clear" w:color="auto" w:fill="FFFFFF"/>
            <w:vAlign w:val="center"/>
          </w:tcPr>
          <w:p w14:paraId="02BBAC0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根据采购人要求，对以下健康教育宣传栏、巩卫广告牌进行定期更新（含设计、拆装），内容、材质、更新时间由采购人指定，如遇破损，及时更换（破损更换不纳入更新次数）。</w:t>
            </w:r>
          </w:p>
        </w:tc>
      </w:tr>
      <w:tr w14:paraId="71AA7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pct"/>
            <w:shd w:val="clear" w:color="auto" w:fill="FFFFFF"/>
            <w:vAlign w:val="center"/>
          </w:tcPr>
          <w:p w14:paraId="2143AAE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健康教育宣传位置及尺寸</w:t>
            </w:r>
          </w:p>
        </w:tc>
        <w:tc>
          <w:tcPr>
            <w:tcW w:w="3540" w:type="pct"/>
            <w:shd w:val="clear" w:color="auto" w:fill="FFFFFF"/>
            <w:vAlign w:val="center"/>
          </w:tcPr>
          <w:p w14:paraId="4F7348F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第二办公区围墙：6.7m*1.2m，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东升公园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宣传栏：5.1m*1.5m，</w:t>
            </w:r>
          </w:p>
        </w:tc>
        <w:tc>
          <w:tcPr>
            <w:tcW w:w="848" w:type="pct"/>
            <w:shd w:val="clear" w:color="auto" w:fill="FFFFFF"/>
            <w:vAlign w:val="center"/>
          </w:tcPr>
          <w:p w14:paraId="6BF66E9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每一个季度更新一次</w:t>
            </w:r>
          </w:p>
        </w:tc>
      </w:tr>
      <w:tr w14:paraId="57FD0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pct"/>
            <w:shd w:val="clear" w:color="auto" w:fill="FFFFFF"/>
            <w:vAlign w:val="center"/>
          </w:tcPr>
          <w:p w14:paraId="2EEDD34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巩卫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、健康乡镇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广告牌位置及尺寸</w:t>
            </w:r>
          </w:p>
        </w:tc>
        <w:tc>
          <w:tcPr>
            <w:tcW w:w="3540" w:type="pct"/>
            <w:shd w:val="clear" w:color="auto" w:fill="FFFFFF"/>
            <w:vAlign w:val="center"/>
          </w:tcPr>
          <w:p w14:paraId="1E8BEC5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原中永加油站：15.9m*7m，</w:t>
            </w:r>
          </w:p>
        </w:tc>
        <w:tc>
          <w:tcPr>
            <w:tcW w:w="848" w:type="pct"/>
            <w:shd w:val="clear" w:color="auto" w:fill="FFFFFF"/>
            <w:vAlign w:val="center"/>
          </w:tcPr>
          <w:p w14:paraId="4E318AE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每年更新2次</w:t>
            </w:r>
          </w:p>
        </w:tc>
      </w:tr>
      <w:tr w14:paraId="275F6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pct"/>
            <w:shd w:val="clear" w:color="auto" w:fill="FFFFFF"/>
            <w:vAlign w:val="center"/>
          </w:tcPr>
          <w:p w14:paraId="665E11C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其他巩卫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、健康乡镇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宣传喷画、横幅</w:t>
            </w:r>
          </w:p>
        </w:tc>
        <w:tc>
          <w:tcPr>
            <w:tcW w:w="3540" w:type="pct"/>
            <w:shd w:val="clear" w:color="auto" w:fill="FFFFFF"/>
            <w:vAlign w:val="center"/>
          </w:tcPr>
          <w:p w14:paraId="7022D6F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按采购人要求制作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含设计、拆装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宣传喷画、横幅，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展架等</w:t>
            </w:r>
          </w:p>
          <w:p w14:paraId="0C5F7D6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内容、位置、材质由采购人指定</w:t>
            </w:r>
          </w:p>
        </w:tc>
        <w:tc>
          <w:tcPr>
            <w:tcW w:w="848" w:type="pct"/>
            <w:shd w:val="clear" w:color="auto" w:fill="FFFFFF"/>
            <w:vAlign w:val="center"/>
          </w:tcPr>
          <w:p w14:paraId="512DC89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总面积不超过</w:t>
            </w:r>
          </w:p>
          <w:p w14:paraId="6388167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250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平方米</w:t>
            </w:r>
          </w:p>
        </w:tc>
      </w:tr>
      <w:tr w14:paraId="45114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pct"/>
            <w:shd w:val="clear" w:color="auto" w:fill="FFFFFF"/>
            <w:vAlign w:val="center"/>
          </w:tcPr>
          <w:p w14:paraId="4EFA126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业务培训</w:t>
            </w:r>
          </w:p>
        </w:tc>
        <w:tc>
          <w:tcPr>
            <w:tcW w:w="3540" w:type="pct"/>
            <w:shd w:val="clear" w:color="auto" w:fill="FFFFFF"/>
            <w:vAlign w:val="center"/>
          </w:tcPr>
          <w:p w14:paraId="1BD7A5B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每年组织省市专家开展病媒生物防制知识培训班，所邀请专家需经采购人同意，培训时间、培训主要内容由采购人指定。</w:t>
            </w:r>
          </w:p>
        </w:tc>
        <w:tc>
          <w:tcPr>
            <w:tcW w:w="848" w:type="pct"/>
            <w:shd w:val="clear" w:color="auto" w:fill="FFFFFF"/>
            <w:vAlign w:val="center"/>
          </w:tcPr>
          <w:p w14:paraId="0ADA389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一年至少一次</w:t>
            </w:r>
          </w:p>
        </w:tc>
      </w:tr>
    </w:tbl>
    <w:p w14:paraId="12689EA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7618475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项目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人员设备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要求</w:t>
      </w:r>
    </w:p>
    <w:p w14:paraId="7AD1B08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一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针对本项目的服务范围和需求，应投入不小于12人开展工作，作业人员必须为法定工作年龄内，不得聘用超龄人员作业。</w:t>
      </w:r>
    </w:p>
    <w:p w14:paraId="7476AA8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针对本项目的服务范围和需求，投入设备基本配置数量及要求应达到下表要求：</w:t>
      </w:r>
    </w:p>
    <w:tbl>
      <w:tblPr>
        <w:tblStyle w:val="2"/>
        <w:tblW w:w="4998" w:type="pct"/>
        <w:jc w:val="center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2373"/>
        <w:gridCol w:w="4334"/>
        <w:gridCol w:w="1627"/>
      </w:tblGrid>
      <w:tr w14:paraId="552170E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A5D89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序号</w:t>
            </w:r>
          </w:p>
        </w:tc>
        <w:tc>
          <w:tcPr>
            <w:tcW w:w="1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DE525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设备名称</w:t>
            </w:r>
          </w:p>
        </w:tc>
        <w:tc>
          <w:tcPr>
            <w:tcW w:w="2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326F1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要求</w:t>
            </w:r>
          </w:p>
        </w:tc>
        <w:tc>
          <w:tcPr>
            <w:tcW w:w="8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BA433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数量</w:t>
            </w:r>
          </w:p>
        </w:tc>
      </w:tr>
      <w:tr w14:paraId="659AEE5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1282C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28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9C674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超低容量喷雾机</w:t>
            </w:r>
          </w:p>
        </w:tc>
        <w:tc>
          <w:tcPr>
            <w:tcW w:w="2345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B2F27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可正常使用</w:t>
            </w:r>
          </w:p>
        </w:tc>
        <w:tc>
          <w:tcPr>
            <w:tcW w:w="88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E91A4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不少于8台</w:t>
            </w:r>
          </w:p>
        </w:tc>
      </w:tr>
      <w:tr w14:paraId="7C99F7F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44195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28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1D5D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机动或电动喷雾机（打药机）</w:t>
            </w:r>
          </w:p>
        </w:tc>
        <w:tc>
          <w:tcPr>
            <w:tcW w:w="2345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FD3FB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可正常使用</w:t>
            </w:r>
          </w:p>
        </w:tc>
        <w:tc>
          <w:tcPr>
            <w:tcW w:w="88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C6717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不少于10台</w:t>
            </w:r>
          </w:p>
        </w:tc>
      </w:tr>
      <w:tr w14:paraId="3231C58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14F2A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128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2D9A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热烟雾机</w:t>
            </w:r>
          </w:p>
        </w:tc>
        <w:tc>
          <w:tcPr>
            <w:tcW w:w="2345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3AF54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可正常使用</w:t>
            </w:r>
          </w:p>
        </w:tc>
        <w:tc>
          <w:tcPr>
            <w:tcW w:w="88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A86A9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不少于8台</w:t>
            </w:r>
          </w:p>
        </w:tc>
      </w:tr>
      <w:tr w14:paraId="6669E29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B8F8E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128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0666E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机动车辆</w:t>
            </w:r>
          </w:p>
        </w:tc>
        <w:tc>
          <w:tcPr>
            <w:tcW w:w="2345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3A00E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可正常使用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，且车辆须在有效检验期内</w:t>
            </w:r>
          </w:p>
        </w:tc>
        <w:tc>
          <w:tcPr>
            <w:tcW w:w="88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12FFB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不少于6辆</w:t>
            </w:r>
          </w:p>
        </w:tc>
      </w:tr>
    </w:tbl>
    <w:p w14:paraId="284C6A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after="0" w:afterLines="0" w:line="360" w:lineRule="auto"/>
        <w:ind w:leftChars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服务供应商需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中标之日起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2个月内在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小榄镇范围内设置办公场所和仓库（办公场所和仓库合计面积不少于100平方米），如遇突发情况，工作人员须在接到采购人电话通知，30分钟内到达现场。</w:t>
      </w:r>
    </w:p>
    <w:p w14:paraId="3A692992">
      <w:pPr>
        <w:rPr>
          <w:sz w:val="21"/>
          <w:szCs w:val="21"/>
        </w:rPr>
      </w:pP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432" w:lineRule="auto"/>
      </w:pPr>
      <w:r>
        <w:separator/>
      </w:r>
    </w:p>
  </w:footnote>
  <w:footnote w:type="continuationSeparator" w:id="1">
    <w:p>
      <w:pPr>
        <w:spacing w:before="0" w:after="0" w:line="432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018600"/>
    <w:multiLevelType w:val="singleLevel"/>
    <w:tmpl w:val="7501860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82665E"/>
    <w:rsid w:val="020E02AA"/>
    <w:rsid w:val="0DB77A48"/>
    <w:rsid w:val="15DA0777"/>
    <w:rsid w:val="345F23FD"/>
    <w:rsid w:val="399B0698"/>
    <w:rsid w:val="3A82665E"/>
    <w:rsid w:val="6A90057A"/>
    <w:rsid w:val="76530DD9"/>
    <w:rsid w:val="7E35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after="50" w:afterLines="50" w:line="432" w:lineRule="auto"/>
      <w:jc w:val="both"/>
    </w:pPr>
    <w:rPr>
      <w:rFonts w:eastAsia="宋体" w:asciiTheme="minorAscii" w:hAnsiTheme="minorAscii" w:cstheme="minorBidi"/>
      <w:snapToGrid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2026-05-29T08:00:00Z</dcterms:created>
  <dc:creator>00</dc:creator>
  <cp:lastModifiedBy>00</cp:lastModifiedBy>
  <dcterms:modified xsi:type="dcterms:W3CDTF">2026-05-29T08:07:35Z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C9E880C15FC44496977389E664BA9401_11</vt:lpwstr>
  </property>
  <property fmtid="{D5CDD505-2E9C-101B-9397-08002B2CF9AE}" pid="4" name="KSOTemplateDocerSaveRecord">
    <vt:lpwstr>eyJoZGlkIjoiMTk3N2VhNWEzYTU3Njg5YWE5MTlkMmQyYTFiZTZlMzIiLCJ1c2VySWQiOiI2NDk5Nzc1NDIifQ==</vt:lpwstr>
  </property>
</Properties>
</file>